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rPr>
          <w:rFonts w:ascii="黑体" w:hAnsi="黑体" w:eastAsia="黑体"/>
          <w:sz w:val="32"/>
          <w:szCs w:val="32"/>
        </w:rPr>
      </w:pPr>
      <w:r>
        <w:rPr>
          <w:rFonts w:hint="eastAsia" w:ascii="黑体" w:hAnsi="黑体" w:eastAsia="黑体"/>
          <w:sz w:val="32"/>
          <w:szCs w:val="32"/>
        </w:rPr>
        <w:t>附件1</w:t>
      </w:r>
    </w:p>
    <w:p>
      <w:pPr>
        <w:adjustRightInd w:val="0"/>
        <w:rPr>
          <w:rFonts w:ascii="黑体" w:hAnsi="黑体" w:eastAsia="黑体"/>
          <w:sz w:val="32"/>
          <w:szCs w:val="32"/>
        </w:rPr>
      </w:pPr>
    </w:p>
    <w:p>
      <w:pPr>
        <w:adjustRightInd w:val="0"/>
        <w:jc w:val="center"/>
        <w:rPr>
          <w:rFonts w:ascii="方正小标宋简体" w:eastAsia="方正小标宋简体"/>
          <w:sz w:val="36"/>
          <w:szCs w:val="36"/>
        </w:rPr>
      </w:pPr>
      <w:r>
        <w:rPr>
          <w:rFonts w:hint="eastAsia" w:ascii="方正小标宋简体" w:eastAsia="方正小标宋简体"/>
          <w:sz w:val="36"/>
          <w:szCs w:val="36"/>
        </w:rPr>
        <w:t>202</w:t>
      </w:r>
      <w:r>
        <w:rPr>
          <w:rFonts w:ascii="方正小标宋简体" w:eastAsia="方正小标宋简体"/>
          <w:sz w:val="36"/>
          <w:szCs w:val="36"/>
        </w:rPr>
        <w:t>3</w:t>
      </w:r>
      <w:r>
        <w:rPr>
          <w:rFonts w:hint="eastAsia" w:ascii="方正小标宋简体" w:eastAsia="方正小标宋简体"/>
          <w:sz w:val="36"/>
          <w:szCs w:val="36"/>
        </w:rPr>
        <w:t>年全国科技活动周暨江苏省第3</w:t>
      </w:r>
      <w:r>
        <w:rPr>
          <w:rFonts w:ascii="方正小标宋简体" w:eastAsia="方正小标宋简体"/>
          <w:sz w:val="36"/>
          <w:szCs w:val="36"/>
        </w:rPr>
        <w:t>5</w:t>
      </w:r>
      <w:r>
        <w:rPr>
          <w:rFonts w:hint="eastAsia" w:ascii="方正小标宋简体" w:eastAsia="方正小标宋简体"/>
          <w:sz w:val="36"/>
          <w:szCs w:val="36"/>
        </w:rPr>
        <w:t>届科普宣传周</w:t>
      </w:r>
    </w:p>
    <w:p>
      <w:pPr>
        <w:adjustRightInd w:val="0"/>
        <w:jc w:val="center"/>
        <w:rPr>
          <w:rFonts w:ascii="方正小标宋简体" w:hAnsi="Times New Roman" w:eastAsia="方正小标宋简体"/>
          <w:sz w:val="36"/>
          <w:szCs w:val="36"/>
        </w:rPr>
      </w:pPr>
      <w:r>
        <w:rPr>
          <w:rFonts w:hint="eastAsia" w:ascii="方正小标宋简体" w:eastAsia="方正小标宋简体"/>
          <w:sz w:val="36"/>
          <w:szCs w:val="36"/>
        </w:rPr>
        <w:t>优秀组织单位推荐表</w:t>
      </w:r>
    </w:p>
    <w:p>
      <w:pPr>
        <w:adjustRightInd w:val="0"/>
        <w:snapToGrid w:val="0"/>
        <w:spacing w:line="360" w:lineRule="auto"/>
        <w:rPr>
          <w:rFonts w:ascii="仿宋_GB2312" w:hAnsi="宋体" w:eastAsia="仿宋_GB2312"/>
          <w:sz w:val="24"/>
          <w:szCs w:val="24"/>
        </w:rPr>
      </w:pPr>
    </w:p>
    <w:p>
      <w:pPr>
        <w:adjustRightInd w:val="0"/>
        <w:snapToGrid w:val="0"/>
        <w:spacing w:line="360" w:lineRule="auto"/>
        <w:rPr>
          <w:rFonts w:hint="eastAsia" w:ascii="楷体_GB2312" w:hAnsi="Times New Roman" w:eastAsia="楷体_GB2312"/>
          <w:b/>
          <w:bCs/>
          <w:sz w:val="24"/>
          <w:szCs w:val="24"/>
          <w:lang w:val="en-US" w:eastAsia="zh-CN"/>
        </w:rPr>
      </w:pPr>
      <w:bookmarkStart w:id="0" w:name="_GoBack"/>
      <w:r>
        <w:rPr>
          <w:rFonts w:hint="eastAsia" w:ascii="楷体_GB2312" w:hAnsi="宋体" w:eastAsia="楷体_GB2312"/>
          <w:b/>
          <w:bCs/>
          <w:sz w:val="24"/>
          <w:szCs w:val="24"/>
        </w:rPr>
        <w:t>填表单位：</w:t>
      </w:r>
      <w:r>
        <w:rPr>
          <w:rFonts w:hint="eastAsia" w:ascii="楷体_GB2312" w:hAnsi="宋体" w:eastAsia="楷体_GB2312"/>
          <w:b/>
          <w:bCs/>
          <w:sz w:val="24"/>
          <w:szCs w:val="24"/>
          <w:lang w:eastAsia="zh-CN"/>
        </w:rPr>
        <w:t>江苏省药理学会</w:t>
      </w:r>
    </w:p>
    <w:tbl>
      <w:tblPr>
        <w:tblStyle w:val="3"/>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356"/>
        <w:gridCol w:w="3183"/>
        <w:gridCol w:w="714"/>
        <w:gridCol w:w="3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楷体_GB2312" w:hAnsi="宋体" w:eastAsia="楷体_GB2312"/>
                <w:b/>
                <w:bCs/>
                <w:sz w:val="24"/>
                <w:szCs w:val="24"/>
              </w:rPr>
            </w:pPr>
            <w:r>
              <w:rPr>
                <w:rFonts w:hint="eastAsia" w:ascii="楷体_GB2312" w:hAnsi="宋体" w:eastAsia="楷体_GB2312"/>
                <w:b/>
                <w:bCs/>
                <w:sz w:val="24"/>
                <w:szCs w:val="24"/>
              </w:rPr>
              <w:t>单位名称</w:t>
            </w:r>
          </w:p>
        </w:tc>
        <w:tc>
          <w:tcPr>
            <w:tcW w:w="728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楷体_GB2312" w:hAnsi="宋体" w:eastAsia="楷体_GB2312"/>
                <w:b/>
                <w:bCs/>
                <w:sz w:val="24"/>
                <w:szCs w:val="24"/>
                <w:lang w:eastAsia="zh-CN"/>
              </w:rPr>
            </w:pPr>
            <w:r>
              <w:rPr>
                <w:rFonts w:hint="eastAsia" w:ascii="楷体_GB2312" w:hAnsi="宋体" w:eastAsia="楷体_GB2312"/>
                <w:b/>
                <w:bCs/>
                <w:sz w:val="24"/>
                <w:szCs w:val="24"/>
                <w:lang w:eastAsia="zh-CN"/>
              </w:rPr>
              <w:t>江苏省药理学会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楷体_GB2312" w:hAnsi="宋体" w:eastAsia="楷体_GB2312"/>
                <w:b/>
                <w:bCs/>
                <w:sz w:val="24"/>
                <w:szCs w:val="24"/>
              </w:rPr>
            </w:pPr>
            <w:r>
              <w:rPr>
                <w:rFonts w:hint="eastAsia" w:ascii="楷体_GB2312" w:hAnsi="宋体" w:eastAsia="楷体_GB2312"/>
                <w:b/>
                <w:bCs/>
                <w:sz w:val="24"/>
                <w:szCs w:val="24"/>
              </w:rPr>
              <w:t>联 系 人</w:t>
            </w:r>
          </w:p>
        </w:tc>
        <w:tc>
          <w:tcPr>
            <w:tcW w:w="353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楷体_GB2312" w:hAnsi="宋体" w:eastAsia="楷体_GB2312"/>
                <w:b/>
                <w:bCs/>
                <w:sz w:val="24"/>
                <w:szCs w:val="24"/>
                <w:lang w:eastAsia="zh-CN"/>
              </w:rPr>
            </w:pPr>
            <w:r>
              <w:rPr>
                <w:rFonts w:hint="eastAsia" w:ascii="楷体_GB2312" w:hAnsi="宋体" w:eastAsia="楷体_GB2312"/>
                <w:b/>
                <w:bCs/>
                <w:sz w:val="24"/>
                <w:szCs w:val="24"/>
                <w:lang w:eastAsia="zh-CN"/>
              </w:rPr>
              <w:t>朱萱萱</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楷体_GB2312" w:hAnsi="宋体" w:eastAsia="楷体_GB2312"/>
                <w:b/>
                <w:bCs/>
                <w:sz w:val="24"/>
                <w:szCs w:val="24"/>
              </w:rPr>
            </w:pPr>
            <w:r>
              <w:rPr>
                <w:rFonts w:hint="eastAsia" w:ascii="楷体_GB2312" w:hAnsi="宋体" w:eastAsia="楷体_GB2312"/>
                <w:b/>
                <w:bCs/>
                <w:sz w:val="24"/>
                <w:szCs w:val="24"/>
              </w:rPr>
              <w:t>职务</w:t>
            </w:r>
          </w:p>
        </w:tc>
        <w:tc>
          <w:tcPr>
            <w:tcW w:w="303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楷体_GB2312" w:hAnsi="宋体" w:eastAsia="楷体_GB2312"/>
                <w:b/>
                <w:bCs/>
                <w:sz w:val="24"/>
                <w:szCs w:val="24"/>
                <w:lang w:eastAsia="zh-CN"/>
              </w:rPr>
            </w:pPr>
            <w:r>
              <w:rPr>
                <w:rFonts w:hint="eastAsia" w:ascii="楷体_GB2312" w:hAnsi="宋体" w:eastAsia="楷体_GB2312"/>
                <w:b/>
                <w:bCs/>
                <w:sz w:val="24"/>
                <w:szCs w:val="24"/>
                <w:lang w:eastAsia="zh-CN"/>
              </w:rPr>
              <w:t>常务副秘书长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楷体_GB2312" w:hAnsi="宋体" w:eastAsia="楷体_GB2312"/>
                <w:b/>
                <w:bCs/>
                <w:sz w:val="24"/>
                <w:szCs w:val="24"/>
              </w:rPr>
            </w:pPr>
            <w:r>
              <w:rPr>
                <w:rFonts w:hint="eastAsia" w:ascii="楷体_GB2312" w:hAnsi="宋体" w:eastAsia="楷体_GB2312"/>
                <w:b/>
                <w:bCs/>
                <w:sz w:val="24"/>
                <w:szCs w:val="24"/>
              </w:rPr>
              <w:t>通讯地址</w:t>
            </w:r>
          </w:p>
        </w:tc>
        <w:tc>
          <w:tcPr>
            <w:tcW w:w="353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楷体_GB2312" w:hAnsi="宋体" w:eastAsia="楷体_GB2312"/>
                <w:b/>
                <w:bCs/>
                <w:sz w:val="24"/>
                <w:szCs w:val="24"/>
                <w:lang w:val="en-US" w:eastAsia="zh-CN"/>
              </w:rPr>
            </w:pPr>
            <w:r>
              <w:rPr>
                <w:rFonts w:hint="eastAsia" w:ascii="楷体_GB2312" w:hAnsi="宋体" w:eastAsia="楷体_GB2312"/>
                <w:b/>
                <w:bCs/>
                <w:sz w:val="24"/>
                <w:szCs w:val="24"/>
                <w:lang w:eastAsia="zh-CN"/>
              </w:rPr>
              <w:t>童家巷</w:t>
            </w:r>
            <w:r>
              <w:rPr>
                <w:rFonts w:hint="eastAsia" w:ascii="楷体_GB2312" w:hAnsi="宋体" w:eastAsia="楷体_GB2312"/>
                <w:b/>
                <w:bCs/>
                <w:sz w:val="24"/>
                <w:szCs w:val="24"/>
                <w:lang w:val="en-US" w:eastAsia="zh-CN"/>
              </w:rPr>
              <w:t>24号</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楷体_GB2312" w:hAnsi="宋体" w:eastAsia="楷体_GB2312"/>
                <w:b/>
                <w:bCs/>
                <w:sz w:val="24"/>
                <w:szCs w:val="24"/>
              </w:rPr>
            </w:pPr>
            <w:r>
              <w:rPr>
                <w:rFonts w:hint="eastAsia" w:ascii="楷体_GB2312" w:hAnsi="宋体" w:eastAsia="楷体_GB2312"/>
                <w:b/>
                <w:bCs/>
                <w:sz w:val="24"/>
                <w:szCs w:val="24"/>
              </w:rPr>
              <w:t>邮编</w:t>
            </w:r>
          </w:p>
        </w:tc>
        <w:tc>
          <w:tcPr>
            <w:tcW w:w="303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楷体_GB2312" w:hAnsi="宋体" w:eastAsia="楷体_GB2312"/>
                <w:b/>
                <w:bCs/>
                <w:sz w:val="24"/>
                <w:szCs w:val="24"/>
                <w:lang w:val="en-US" w:eastAsia="zh-CN"/>
              </w:rPr>
            </w:pPr>
            <w:r>
              <w:rPr>
                <w:rFonts w:hint="eastAsia" w:ascii="楷体_GB2312" w:hAnsi="宋体" w:eastAsia="楷体_GB2312"/>
                <w:b/>
                <w:bCs/>
                <w:sz w:val="24"/>
                <w:szCs w:val="24"/>
                <w:lang w:val="en-US" w:eastAsia="zh-CN"/>
              </w:rPr>
              <w:t>210009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楷体_GB2312" w:hAnsi="宋体" w:eastAsia="楷体_GB2312"/>
                <w:b/>
                <w:bCs/>
                <w:sz w:val="24"/>
                <w:szCs w:val="24"/>
              </w:rPr>
            </w:pPr>
            <w:r>
              <w:rPr>
                <w:rFonts w:hint="eastAsia" w:ascii="楷体_GB2312" w:hAnsi="宋体" w:eastAsia="楷体_GB2312"/>
                <w:b/>
                <w:bCs/>
                <w:sz w:val="24"/>
                <w:szCs w:val="24"/>
              </w:rPr>
              <w:t>电    话</w:t>
            </w:r>
          </w:p>
        </w:tc>
        <w:tc>
          <w:tcPr>
            <w:tcW w:w="353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楷体_GB2312" w:hAnsi="宋体" w:eastAsia="楷体_GB2312"/>
                <w:b/>
                <w:bCs/>
                <w:sz w:val="24"/>
                <w:szCs w:val="24"/>
                <w:lang w:val="en-US" w:eastAsia="zh-CN"/>
              </w:rPr>
            </w:pPr>
            <w:r>
              <w:rPr>
                <w:rFonts w:hint="eastAsia" w:ascii="楷体_GB2312" w:hAnsi="宋体" w:eastAsia="楷体_GB2312"/>
                <w:b/>
                <w:bCs/>
                <w:sz w:val="24"/>
                <w:szCs w:val="24"/>
                <w:lang w:val="en-US" w:eastAsia="zh-CN"/>
              </w:rPr>
              <w:t>13951996960</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楷体_GB2312" w:hAnsi="宋体" w:eastAsia="楷体_GB2312"/>
                <w:b/>
                <w:bCs/>
                <w:sz w:val="24"/>
                <w:szCs w:val="24"/>
              </w:rPr>
            </w:pPr>
            <w:r>
              <w:rPr>
                <w:rFonts w:hint="eastAsia" w:ascii="楷体_GB2312" w:hAnsi="宋体" w:eastAsia="楷体_GB2312"/>
                <w:b/>
                <w:bCs/>
                <w:sz w:val="24"/>
                <w:szCs w:val="24"/>
              </w:rPr>
              <w:t>传真</w:t>
            </w:r>
          </w:p>
        </w:tc>
        <w:tc>
          <w:tcPr>
            <w:tcW w:w="303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楷体_GB2312" w:hAnsi="宋体" w:eastAsia="楷体_GB2312"/>
                <w:b/>
                <w:bCs/>
                <w:sz w:val="24"/>
                <w:szCs w:val="24"/>
                <w:lang w:val="en-US" w:eastAsia="zh-CN"/>
              </w:rPr>
            </w:pPr>
            <w:r>
              <w:rPr>
                <w:rFonts w:hint="eastAsia" w:ascii="楷体_GB2312" w:hAnsi="宋体" w:eastAsia="楷体_GB2312"/>
                <w:b/>
                <w:bCs/>
                <w:sz w:val="24"/>
                <w:szCs w:val="24"/>
                <w:lang w:val="en-US" w:eastAsia="zh-CN"/>
              </w:rPr>
              <w:t>025-86555797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2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楷体_GB2312" w:hAnsi="宋体" w:eastAsia="楷体_GB2312"/>
                <w:b/>
                <w:bCs/>
                <w:sz w:val="24"/>
                <w:szCs w:val="24"/>
              </w:rPr>
            </w:pPr>
            <w:r>
              <w:rPr>
                <w:rFonts w:hint="eastAsia" w:ascii="楷体_GB2312" w:hAnsi="宋体" w:eastAsia="楷体_GB2312"/>
                <w:b/>
                <w:bCs/>
                <w:sz w:val="24"/>
                <w:szCs w:val="24"/>
              </w:rPr>
              <w:t>活  动  情  况  简  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3" w:hRule="atLeast"/>
          <w:jc w:val="center"/>
        </w:trPr>
        <w:tc>
          <w:tcPr>
            <w:tcW w:w="8628" w:type="dxa"/>
            <w:gridSpan w:val="5"/>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楷体_GB2312" w:eastAsia="楷体_GB2312"/>
                <w:sz w:val="24"/>
                <w:szCs w:val="24"/>
              </w:rPr>
            </w:pPr>
            <w:r>
              <w:rPr>
                <w:rFonts w:hint="eastAsia" w:ascii="楷体_GB2312" w:eastAsia="楷体_GB2312"/>
                <w:sz w:val="24"/>
                <w:szCs w:val="24"/>
              </w:rPr>
              <w:t>(文字不超过3000字，附活动精彩照片3-5张)</w:t>
            </w:r>
          </w:p>
          <w:p>
            <w:pPr>
              <w:spacing w:line="360" w:lineRule="auto"/>
              <w:rPr>
                <w:rFonts w:hint="eastAsia" w:ascii="华文楷体" w:hAnsi="华文楷体" w:eastAsia="华文楷体" w:cs="华文楷体"/>
                <w:sz w:val="24"/>
                <w:szCs w:val="24"/>
              </w:rPr>
            </w:pPr>
            <w:r>
              <w:rPr>
                <w:rFonts w:hint="eastAsia" w:ascii="楷体" w:hAnsi="楷体" w:eastAsia="楷体"/>
                <w:b/>
                <w:bCs/>
                <w:sz w:val="24"/>
                <w:szCs w:val="24"/>
              </w:rPr>
              <w:t xml:space="preserve"> </w:t>
            </w:r>
            <w:r>
              <w:rPr>
                <w:rFonts w:hint="eastAsia" w:ascii="华文楷体" w:hAnsi="华文楷体" w:eastAsia="华文楷体" w:cs="华文楷体"/>
                <w:b/>
                <w:bCs/>
                <w:sz w:val="24"/>
                <w:szCs w:val="24"/>
              </w:rPr>
              <w:t>江苏省药理学会是由全省药理工作者自愿组成的学术性社会组织。聚集了省内药理学在教学、科研、应用、生产、科普等领域的药理科技工作者。会员人数已达</w:t>
            </w:r>
            <w:r>
              <w:rPr>
                <w:rFonts w:hint="eastAsia" w:ascii="华文楷体" w:hAnsi="华文楷体" w:eastAsia="华文楷体" w:cs="华文楷体"/>
                <w:b/>
                <w:bCs/>
                <w:sz w:val="24"/>
                <w:szCs w:val="24"/>
                <w:lang w:val="en-US" w:eastAsia="zh-CN"/>
              </w:rPr>
              <w:t>1236</w:t>
            </w:r>
            <w:r>
              <w:rPr>
                <w:rFonts w:hint="eastAsia" w:ascii="华文楷体" w:hAnsi="华文楷体" w:eastAsia="华文楷体" w:cs="华文楷体"/>
                <w:b/>
                <w:bCs/>
                <w:sz w:val="24"/>
                <w:szCs w:val="24"/>
              </w:rPr>
              <w:t>人。江苏省民政厅5A级学会，</w:t>
            </w:r>
            <w:r>
              <w:rPr>
                <w:rFonts w:hint="eastAsia" w:ascii="华文楷体" w:hAnsi="华文楷体" w:eastAsia="华文楷体" w:cs="华文楷体"/>
                <w:b/>
                <w:bCs/>
                <w:sz w:val="24"/>
                <w:szCs w:val="24"/>
                <w:lang w:val="en-US" w:eastAsia="zh-CN"/>
              </w:rPr>
              <w:t>2022年</w:t>
            </w:r>
            <w:r>
              <w:rPr>
                <w:rFonts w:hint="eastAsia" w:ascii="华文楷体" w:hAnsi="华文楷体" w:eastAsia="华文楷体" w:cs="华文楷体"/>
                <w:b/>
                <w:bCs/>
                <w:sz w:val="24"/>
                <w:szCs w:val="24"/>
                <w:shd w:val="clear" w:color="auto" w:fill="FFFFFF"/>
              </w:rPr>
              <w:t>被</w:t>
            </w:r>
            <w:r>
              <w:rPr>
                <w:rFonts w:hint="eastAsia" w:ascii="华文楷体" w:hAnsi="华文楷体" w:eastAsia="华文楷体" w:cs="华文楷体"/>
                <w:b/>
                <w:bCs/>
                <w:sz w:val="24"/>
                <w:szCs w:val="24"/>
                <w:shd w:val="clear" w:color="auto" w:fill="FFFFFF"/>
                <w:lang w:eastAsia="zh-CN"/>
              </w:rPr>
              <w:t>评为</w:t>
            </w:r>
            <w:r>
              <w:rPr>
                <w:rFonts w:hint="eastAsia" w:ascii="华文楷体" w:hAnsi="华文楷体" w:eastAsia="华文楷体" w:cs="华文楷体"/>
                <w:b/>
                <w:bCs/>
                <w:sz w:val="24"/>
                <w:szCs w:val="24"/>
                <w:shd w:val="clear" w:color="auto" w:fill="FFFFFF"/>
              </w:rPr>
              <w:t>省科协2022年全国科技活动周暨江苏省第34届科普宣传周优秀组织单位</w:t>
            </w:r>
            <w:r>
              <w:rPr>
                <w:rFonts w:hint="eastAsia" w:ascii="华文楷体" w:hAnsi="华文楷体" w:eastAsia="华文楷体" w:cs="华文楷体"/>
                <w:b/>
                <w:bCs/>
                <w:sz w:val="24"/>
                <w:szCs w:val="24"/>
                <w:shd w:val="clear" w:color="auto" w:fill="FFFFFF"/>
                <w:lang w:eastAsia="zh-CN"/>
              </w:rPr>
              <w:t>。</w:t>
            </w:r>
            <w:r>
              <w:rPr>
                <w:rFonts w:hint="eastAsia" w:ascii="华文楷体" w:hAnsi="华文楷体" w:eastAsia="华文楷体" w:cs="华文楷体"/>
                <w:b/>
                <w:bCs/>
                <w:sz w:val="24"/>
                <w:szCs w:val="24"/>
              </w:rPr>
              <w:t>根据中共江苏省委宣传部、江苏省科学技术厅、江苏省科学技术协会、中国科学院南京分院联合下发的《关于举办2023年江苏省“全国科技活动周”暨江苏省第35届科普宣传周的通知》（苏科协发〔2023〕53号）要求，江苏省药理学会积极响应并组织科</w:t>
            </w:r>
            <w:r>
              <w:rPr>
                <w:rFonts w:hint="eastAsia" w:ascii="华文楷体" w:hAnsi="华文楷体" w:eastAsia="华文楷体" w:cs="华文楷体"/>
                <w:b/>
                <w:bCs/>
                <w:sz w:val="24"/>
                <w:szCs w:val="24"/>
                <w:lang w:val="en-US" w:eastAsia="zh-CN"/>
              </w:rPr>
              <w:t>技</w:t>
            </w:r>
            <w:r>
              <w:rPr>
                <w:rFonts w:hint="eastAsia" w:ascii="华文楷体" w:hAnsi="华文楷体" w:eastAsia="华文楷体" w:cs="华文楷体"/>
                <w:b/>
                <w:bCs/>
                <w:sz w:val="24"/>
                <w:szCs w:val="24"/>
              </w:rPr>
              <w:t>专家团队在学校、社区</w:t>
            </w:r>
            <w:r>
              <w:rPr>
                <w:rFonts w:hint="eastAsia" w:ascii="华文楷体" w:hAnsi="华文楷体" w:eastAsia="华文楷体" w:cs="华文楷体"/>
                <w:b/>
                <w:bCs/>
                <w:sz w:val="24"/>
                <w:szCs w:val="24"/>
                <w:lang w:val="en-US" w:eastAsia="zh-CN"/>
              </w:rPr>
              <w:t>和乡镇</w:t>
            </w:r>
            <w:r>
              <w:rPr>
                <w:rFonts w:hint="eastAsia" w:ascii="华文楷体" w:hAnsi="华文楷体" w:eastAsia="华文楷体" w:cs="华文楷体"/>
                <w:b/>
                <w:bCs/>
                <w:sz w:val="24"/>
                <w:szCs w:val="24"/>
              </w:rPr>
              <w:t>开展科普讲座、义诊和安全用药科普宣传活动。</w:t>
            </w:r>
          </w:p>
          <w:p>
            <w:pPr>
              <w:numPr>
                <w:ilvl w:val="0"/>
                <w:numId w:val="1"/>
              </w:numPr>
              <w:spacing w:line="360" w:lineRule="auto"/>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学会科普专家一行于5月8日下午赴淮安市天津路小学开展了“医药科普促健康，携手‘童心’向未来”科普讲座。这是“守护生命，健康成长”青少年科普服务实事专项活动进校园系列活动。本次活动首先由学会科普专家谢奇老师为小学生带来了《医药科普促健康，携手“童心”向未来》科普讲座。讲座介绍了人体结构基础知识，向学生展示了五脏、六腑、眼睛、牙齿、肌肉、骨骼等人体模型，正常标本与患者标本形成强烈的视觉冲击，同时介绍了人参、枸杞等中药材，通过视觉和触觉的双重体验，让学生直观的感受到中医药的文化传承以及保持健康的重要性。学会科普专家和天津路小学的师生一起体验了乒乓沉浮、“暗度陈仓”、丁达尔现象等五个科学小实验/小挑战。并现场对天津路小学师生在具体用药过程中遇到的困惑进行了解答。江苏省药理学会关注青少年健康成长，积极发挥学会参与社会、服务社会的作用。本次讲座浅显易懂、主题突出、趣味性强、形式多样，受到了少年学生的一致好评！</w:t>
            </w:r>
          </w:p>
          <w:p>
            <w:pPr>
              <w:numPr>
                <w:ilvl w:val="0"/>
                <w:numId w:val="0"/>
              </w:numPr>
              <w:spacing w:line="360" w:lineRule="auto"/>
              <w:rPr>
                <w:rFonts w:hint="eastAsia" w:ascii="华文楷体" w:hAnsi="华文楷体" w:eastAsia="华文楷体" w:cs="华文楷体"/>
              </w:rPr>
            </w:pPr>
            <w:r>
              <w:rPr>
                <w:rFonts w:hint="eastAsia" w:ascii="华文楷体" w:hAnsi="华文楷体" w:eastAsia="华文楷体" w:cs="华文楷体"/>
              </w:rPr>
              <w:drawing>
                <wp:inline distT="0" distB="0" distL="114300" distR="114300">
                  <wp:extent cx="2659380" cy="16383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659380" cy="1638300"/>
                          </a:xfrm>
                          <a:prstGeom prst="rect">
                            <a:avLst/>
                          </a:prstGeom>
                          <a:noFill/>
                          <a:ln>
                            <a:noFill/>
                          </a:ln>
                        </pic:spPr>
                      </pic:pic>
                    </a:graphicData>
                  </a:graphic>
                </wp:inline>
              </w:drawing>
            </w:r>
            <w:r>
              <w:rPr>
                <w:rFonts w:hint="eastAsia" w:ascii="华文楷体" w:hAnsi="华文楷体" w:eastAsia="华文楷体" w:cs="华文楷体"/>
                <w:b/>
                <w:bCs/>
                <w:sz w:val="22"/>
                <w:szCs w:val="22"/>
              </w:rPr>
              <w:drawing>
                <wp:inline distT="0" distB="0" distL="0" distR="0">
                  <wp:extent cx="2332355" cy="1630045"/>
                  <wp:effectExtent l="0" t="0" r="4445" b="8255"/>
                  <wp:docPr id="14799993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9373"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32355" cy="1630045"/>
                          </a:xfrm>
                          <a:prstGeom prst="rect">
                            <a:avLst/>
                          </a:prstGeom>
                          <a:noFill/>
                          <a:ln>
                            <a:noFill/>
                          </a:ln>
                        </pic:spPr>
                      </pic:pic>
                    </a:graphicData>
                  </a:graphic>
                </wp:inline>
              </w:drawing>
            </w:r>
          </w:p>
          <w:p>
            <w:pPr>
              <w:numPr>
                <w:ilvl w:val="0"/>
                <w:numId w:val="0"/>
              </w:numPr>
              <w:spacing w:line="360" w:lineRule="auto"/>
              <w:ind w:leftChars="0"/>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lang w:val="en-US" w:eastAsia="zh-CN"/>
              </w:rPr>
              <w:t>2、</w:t>
            </w:r>
            <w:r>
              <w:rPr>
                <w:rFonts w:hint="eastAsia" w:ascii="华文楷体" w:hAnsi="华文楷体" w:eastAsia="华文楷体" w:cs="华文楷体"/>
                <w:b/>
                <w:bCs/>
                <w:sz w:val="24"/>
                <w:szCs w:val="24"/>
                <w:lang w:val="en-US" w:eastAsia="zh-CN"/>
              </w:rPr>
              <w:t>学会为了积极宣传“识毒拒毒防毒，守护生命健康”知识，5月12日下午，学会科普志愿者走进无锡市雪浪中心小学，为同学们带来了一场以“识毒拒毒防毒，守护生命健康”为主题的别开生面的科普宣传活动。学会科普专家王文龙教授，并通过形象的图片和视频动画，用通俗易懂的语言，从什么是毒品、毒品的类型进行了生动的讲解，揭露新型毒品的伪装性、隐蔽性和迷惑性，并结合专业知识，用浅显直观的方式，毒品与药品的关系，全方位展示了毒品的危害。学会还邀请无锡市雪浪派出所社区民警王俊皓带领同学们一起观看了禁毒展板，教育同学们如何防范和拒绝新型毒品，号召同学们当好“禁毒宣传员”，通过“小手拉大手”的形式，让更多家庭远离毒品侵蚀，共同建设无毒校园、无毒社会。</w:t>
            </w:r>
            <w:r>
              <w:rPr>
                <w:rFonts w:hint="eastAsia" w:ascii="华文楷体" w:hAnsi="华文楷体" w:eastAsia="华文楷体" w:cs="华文楷体"/>
              </w:rPr>
              <w:drawing>
                <wp:inline distT="0" distB="0" distL="114300" distR="114300">
                  <wp:extent cx="2395220" cy="1682750"/>
                  <wp:effectExtent l="0" t="0" r="508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395220" cy="1682750"/>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2835275" cy="1690370"/>
                  <wp:effectExtent l="0" t="0" r="317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835275" cy="1690370"/>
                          </a:xfrm>
                          <a:prstGeom prst="rect">
                            <a:avLst/>
                          </a:prstGeom>
                          <a:noFill/>
                          <a:ln>
                            <a:noFill/>
                          </a:ln>
                        </pic:spPr>
                      </pic:pic>
                    </a:graphicData>
                  </a:graphic>
                </wp:inline>
              </w:drawing>
            </w:r>
          </w:p>
          <w:p>
            <w:pPr>
              <w:numPr>
                <w:ilvl w:val="0"/>
                <w:numId w:val="0"/>
              </w:numPr>
              <w:spacing w:line="360" w:lineRule="auto"/>
              <w:ind w:leftChars="0"/>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3、5月19日，学会科技传播专家江苏省中医院主任药师谭喜莹为南京锁金村街道居民开展心血管疾病用药科普讲座。谭喜莹主任药师从高血压、冠心病等心血管慢性疾病的用药特点出发，从合理用药、服药注意事项、家庭备药注意事项等居民朋友关心的问题进行讲授，深受居民朋友的喜爱。并给在场的居民朋友提出了一些建议和忠告，对于慢性疾病的药物治疗，要按时按量服药，通过生活习惯的健康化可以起到预防治疗疾病的作用，提高了居民朋友的用药依从性，提高药物疗效，降低药物不良反应的发生。整场讲座气氛热烈，大家受益匪浅。此次健康知识讲座切实为老年居民搭建起良好的健康养生学习交流平台，增强了老年居民养生意识，提升了自我防治疾病能力。</w:t>
            </w:r>
          </w:p>
          <w:p>
            <w:pPr>
              <w:spacing w:line="360" w:lineRule="auto"/>
              <w:rPr>
                <w:rFonts w:hint="eastAsia" w:ascii="华文楷体" w:hAnsi="华文楷体" w:eastAsia="华文楷体" w:cs="华文楷体"/>
              </w:rPr>
            </w:pPr>
            <w:r>
              <w:rPr>
                <w:rFonts w:hint="eastAsia" w:ascii="华文楷体" w:hAnsi="华文楷体" w:eastAsia="华文楷体" w:cs="华文楷体"/>
              </w:rPr>
              <w:drawing>
                <wp:inline distT="0" distB="0" distL="114300" distR="114300">
                  <wp:extent cx="2444115" cy="1570990"/>
                  <wp:effectExtent l="0" t="0" r="1333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444115" cy="1570990"/>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2491105" cy="1571625"/>
                  <wp:effectExtent l="0" t="0" r="444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491105" cy="1571625"/>
                          </a:xfrm>
                          <a:prstGeom prst="rect">
                            <a:avLst/>
                          </a:prstGeom>
                          <a:noFill/>
                          <a:ln>
                            <a:noFill/>
                          </a:ln>
                        </pic:spPr>
                      </pic:pic>
                    </a:graphicData>
                  </a:graphic>
                </wp:inline>
              </w:drawing>
            </w:r>
          </w:p>
          <w:p>
            <w:pPr>
              <w:spacing w:line="360" w:lineRule="auto"/>
              <w:rPr>
                <w:rFonts w:hint="eastAsia" w:ascii="华文楷体" w:hAnsi="华文楷体" w:eastAsia="华文楷体" w:cs="华文楷体"/>
              </w:rPr>
            </w:pPr>
            <w:r>
              <w:rPr>
                <w:rFonts w:hint="eastAsia" w:ascii="华文楷体" w:hAnsi="华文楷体" w:eastAsia="华文楷体" w:cs="华文楷体"/>
                <w:lang w:val="en-US" w:eastAsia="zh-CN"/>
              </w:rPr>
              <w:t>4</w:t>
            </w:r>
            <w:r>
              <w:rPr>
                <w:rFonts w:hint="eastAsia" w:ascii="华文楷体" w:hAnsi="华文楷体" w:eastAsia="华文楷体" w:cs="华文楷体"/>
                <w:b/>
                <w:bCs/>
                <w:sz w:val="24"/>
                <w:szCs w:val="24"/>
                <w:lang w:val="en-US" w:eastAsia="zh-CN"/>
              </w:rPr>
              <w:t>、科普周期间学会科技传播专家张忠华主任药师走进盐都区兴城社区为居民讲授了糖尿病、高血压等心血管慢性疾病的预防、危害和药物治疗，现场江苏省科协农村技术服务中心授予学会张忠华主任药师为省科协农村技术服务中心科普特聘专家。张忠华主任给现场居民朋友提出了一些建议和忠告，糖尿病、高血压等慢性疾病的预防和治疗与健康的生活方式密不可分，管住嘴、迈开腿，坚持服药、科学服药，才能有效预防和治疗。此次科普讲座使社区居民了解了不良生活方式导致糖尿病、高血脂、高血压，是冠心病和脑卒中的罪魁祸首，也了解通过膳食习惯的改变、生活方式的健康化能对糖尿这些慢性疾病有效预防。</w:t>
            </w:r>
            <w:r>
              <w:rPr>
                <w:rFonts w:hint="eastAsia" w:ascii="华文楷体" w:hAnsi="华文楷体" w:eastAsia="华文楷体" w:cs="华文楷体"/>
              </w:rPr>
              <w:drawing>
                <wp:inline distT="0" distB="0" distL="114300" distR="114300">
                  <wp:extent cx="5181600" cy="1152525"/>
                  <wp:effectExtent l="0" t="0" r="0"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181600" cy="1152525"/>
                          </a:xfrm>
                          <a:prstGeom prst="rect">
                            <a:avLst/>
                          </a:prstGeom>
                          <a:noFill/>
                          <a:ln>
                            <a:noFill/>
                          </a:ln>
                        </pic:spPr>
                      </pic:pic>
                    </a:graphicData>
                  </a:graphic>
                </wp:inline>
              </w:drawing>
            </w:r>
          </w:p>
          <w:p>
            <w:pPr>
              <w:spacing w:line="360" w:lineRule="auto"/>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5、为更好展现学会的社会服务能力，5月24日下午，学会首席科技传播专家林莉莉教授等一行在无锡卫生高等职业技术学校开展“健康技能训练”小学生职业体验活动，此次活动也是“守护生命，健康成长”青少年科普服务实事专项活动进校园系列活动之一，无锡市新吴区新苑小学40名小学生参加了活动。</w:t>
            </w:r>
          </w:p>
          <w:p>
            <w:pPr>
              <w:numPr>
                <w:ilvl w:val="0"/>
                <w:numId w:val="0"/>
              </w:numPr>
              <w:spacing w:line="360" w:lineRule="auto"/>
              <w:ind w:leftChars="0"/>
              <w:rPr>
                <w:rFonts w:hint="eastAsia" w:ascii="华文楷体" w:hAnsi="华文楷体" w:eastAsia="华文楷体" w:cs="华文楷体"/>
              </w:rPr>
            </w:pPr>
            <w:r>
              <w:rPr>
                <w:rFonts w:hint="eastAsia" w:ascii="华文楷体" w:hAnsi="华文楷体" w:eastAsia="华文楷体" w:cs="华文楷体"/>
              </w:rPr>
              <w:drawing>
                <wp:inline distT="0" distB="0" distL="114300" distR="114300">
                  <wp:extent cx="1642110" cy="1142365"/>
                  <wp:effectExtent l="0" t="0" r="152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1642110" cy="1142365"/>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1598295" cy="1124585"/>
                  <wp:effectExtent l="0" t="0" r="1905"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1598295" cy="1124585"/>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1734820" cy="1137920"/>
                  <wp:effectExtent l="0" t="0" r="1778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1734820" cy="1137920"/>
                          </a:xfrm>
                          <a:prstGeom prst="rect">
                            <a:avLst/>
                          </a:prstGeom>
                          <a:noFill/>
                          <a:ln>
                            <a:noFill/>
                          </a:ln>
                        </pic:spPr>
                      </pic:pic>
                    </a:graphicData>
                  </a:graphic>
                </wp:inline>
              </w:drawing>
            </w:r>
          </w:p>
          <w:p>
            <w:pPr>
              <w:numPr>
                <w:ilvl w:val="0"/>
                <w:numId w:val="0"/>
              </w:numPr>
              <w:spacing w:line="360" w:lineRule="auto"/>
              <w:ind w:leftChars="0"/>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同学们兴奋地穿上白大褂，孩子们立刻变成了营养师，医生和护士。第一组学生参加了“我是小小营养师”健康课，了解学生饮食习惯、营养的特点，学会看营养成分表、理解不良饮食习惯与疾病的健康知识，通过观察食物模型营养,认识碳水化合物、蛋白质、脂肪等营养成分，孩子们利用食品模型进行配餐，亲自动手做了一顿“美味大餐”。第二组同学在老师的讲解下了解了怎么测量体温、血压、脉搏。接着，老师针对孩子们可能会出现的一些意外伤害，详细介绍并演示了救护行动中的骨折固定包扎、气道异物梗塞急救，同学们都积极投入其中。在实战演练环节，同学们互相协作，认真地去完成“伤病人包扎”工作。本次职业体验活动不仅让学生们不仅学到了有用健康知识，还增强了他们的协作能力和动手能力，学会借助科普专家力量，积极开展青少年健康科普活动，推动青少年健康成长，提升了学会社会影响力。</w:t>
            </w:r>
          </w:p>
          <w:p>
            <w:pPr>
              <w:numPr>
                <w:ilvl w:val="0"/>
                <w:numId w:val="0"/>
              </w:numPr>
              <w:spacing w:line="360" w:lineRule="auto"/>
              <w:ind w:leftChars="0"/>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6、应盱眙桃源小镇卫生院的需要，学会与省科协科技服务中心组织科技传播专家团队8人，5月24日来到淮安市盱眙桃源小镇社区活动服务中心开展义诊、用药咨询等科普活动。为桃源小镇广大居民提供检测血压、中医义诊、推拿艾灸、健康咨询等服务。桃源小镇卫生院4名科技志愿者在现场为老百姓作引导服务工作。当天参加义诊和咨询活动的乡村居民近200多人。在科技志愿者的引导下，我学会科技传播团队的专家为桃源小镇居民先后进行检测血压、安全用药咨询、中医望闻问切、开药方、推拿艾灸治疗等。此次活动共</w:t>
            </w:r>
          </w:p>
          <w:p>
            <w:pPr>
              <w:numPr>
                <w:ilvl w:val="0"/>
                <w:numId w:val="0"/>
              </w:numPr>
              <w:spacing w:line="360" w:lineRule="auto"/>
              <w:ind w:leftChars="0"/>
              <w:rPr>
                <w:rFonts w:hint="eastAsia" w:ascii="华文楷体" w:hAnsi="华文楷体" w:eastAsia="华文楷体" w:cs="华文楷体"/>
              </w:rPr>
            </w:pPr>
          </w:p>
          <w:p>
            <w:pPr>
              <w:numPr>
                <w:ilvl w:val="0"/>
                <w:numId w:val="0"/>
              </w:numPr>
              <w:spacing w:line="360" w:lineRule="auto"/>
              <w:ind w:leftChars="0"/>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检测血压150人次，开展中医诊治近150人次，用药咨询130人次，参与推拿艾灸治疗约60人次。本次活动不但为乡村居民提供了免费的调理药方，还现场解决了居民颈肩腰腿方面的一些疼痛问题，得到居民的一致好评，学会根据居民的要求，将定期开展义诊咨询活动，希望能更好地为革命老区乡村居民提供健康服务。</w:t>
            </w:r>
          </w:p>
          <w:p>
            <w:pPr>
              <w:numPr>
                <w:ilvl w:val="0"/>
                <w:numId w:val="0"/>
              </w:numPr>
              <w:spacing w:line="360" w:lineRule="auto"/>
              <w:ind w:leftChars="0"/>
              <w:jc w:val="center"/>
              <w:rPr>
                <w:rFonts w:hint="eastAsia" w:ascii="华文楷体" w:hAnsi="华文楷体" w:eastAsia="华文楷体" w:cs="华文楷体"/>
              </w:rPr>
            </w:pPr>
            <w:r>
              <w:rPr>
                <w:rFonts w:hint="eastAsia" w:ascii="华文楷体" w:hAnsi="华文楷体" w:eastAsia="华文楷体" w:cs="华文楷体"/>
              </w:rPr>
              <w:drawing>
                <wp:inline distT="0" distB="0" distL="114300" distR="114300">
                  <wp:extent cx="4269740" cy="1630680"/>
                  <wp:effectExtent l="0" t="0" r="1016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4269740" cy="1630680"/>
                          </a:xfrm>
                          <a:prstGeom prst="rect">
                            <a:avLst/>
                          </a:prstGeom>
                          <a:noFill/>
                          <a:ln>
                            <a:noFill/>
                          </a:ln>
                        </pic:spPr>
                      </pic:pic>
                    </a:graphicData>
                  </a:graphic>
                </wp:inline>
              </w:drawing>
            </w:r>
          </w:p>
          <w:p>
            <w:pPr>
              <w:numPr>
                <w:ilvl w:val="0"/>
                <w:numId w:val="0"/>
              </w:numPr>
              <w:spacing w:line="360" w:lineRule="auto"/>
              <w:ind w:leftChars="0"/>
              <w:jc w:val="center"/>
              <w:rPr>
                <w:rFonts w:hint="eastAsia" w:ascii="华文楷体" w:hAnsi="华文楷体" w:eastAsia="华文楷体" w:cs="华文楷体"/>
                <w:lang w:val="en-US" w:eastAsia="zh-CN"/>
              </w:rPr>
            </w:pPr>
            <w:r>
              <w:rPr>
                <w:rFonts w:hint="eastAsia" w:ascii="华文楷体" w:hAnsi="华文楷体" w:eastAsia="华文楷体" w:cs="华文楷体"/>
              </w:rPr>
              <w:drawing>
                <wp:inline distT="0" distB="0" distL="114300" distR="114300">
                  <wp:extent cx="3766820" cy="2259330"/>
                  <wp:effectExtent l="0" t="0" r="508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3766820" cy="2259330"/>
                          </a:xfrm>
                          <a:prstGeom prst="rect">
                            <a:avLst/>
                          </a:prstGeom>
                          <a:noFill/>
                          <a:ln>
                            <a:noFill/>
                          </a:ln>
                        </pic:spPr>
                      </pic:pic>
                    </a:graphicData>
                  </a:graphic>
                </wp:inline>
              </w:drawing>
            </w:r>
          </w:p>
          <w:p>
            <w:pPr>
              <w:numPr>
                <w:ilvl w:val="0"/>
                <w:numId w:val="0"/>
              </w:numPr>
              <w:spacing w:line="360" w:lineRule="auto"/>
              <w:ind w:leftChars="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lang w:val="en-US" w:eastAsia="zh-CN"/>
              </w:rPr>
              <w:t>7、</w:t>
            </w:r>
            <w:r>
              <w:rPr>
                <w:rFonts w:hint="eastAsia" w:ascii="华文楷体" w:hAnsi="华文楷体" w:eastAsia="华文楷体" w:cs="华文楷体"/>
                <w:b/>
                <w:bCs/>
                <w:sz w:val="24"/>
                <w:szCs w:val="24"/>
                <w:lang w:val="en-US" w:eastAsia="zh-CN"/>
              </w:rPr>
              <w:t>学会为了加强宣传“皮肤健康”科普知识，科普周期间学会在无锡卫生高等职业技术学校学术报告厅开展“春季过敏性疾病诊断与治疗”的健康主题科普讲座，本次讲座由学会科普专家林莉莉教授主讲，讲座采取线下+线上方式，共有约4300名同学和老师参加。</w:t>
            </w:r>
          </w:p>
          <w:p>
            <w:pPr>
              <w:numPr>
                <w:ilvl w:val="0"/>
                <w:numId w:val="0"/>
              </w:numPr>
              <w:spacing w:line="360" w:lineRule="auto"/>
              <w:rPr>
                <w:rFonts w:hint="eastAsia" w:ascii="华文楷体" w:hAnsi="华文楷体" w:eastAsia="华文楷体" w:cs="华文楷体"/>
                <w:lang w:val="en-US" w:eastAsia="zh-CN"/>
              </w:rPr>
            </w:pPr>
            <w:r>
              <w:rPr>
                <w:rFonts w:hint="eastAsia" w:ascii="华文楷体" w:hAnsi="华文楷体" w:eastAsia="华文楷体" w:cs="华文楷体"/>
              </w:rPr>
              <w:drawing>
                <wp:inline distT="0" distB="0" distL="114300" distR="114300">
                  <wp:extent cx="2677160" cy="1572895"/>
                  <wp:effectExtent l="0" t="0" r="8890" b="825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6"/>
                          <a:stretch>
                            <a:fillRect/>
                          </a:stretch>
                        </pic:blipFill>
                        <pic:spPr>
                          <a:xfrm>
                            <a:off x="0" y="0"/>
                            <a:ext cx="2677160" cy="1572895"/>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2462530" cy="1556385"/>
                  <wp:effectExtent l="0" t="0" r="13970" b="571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7"/>
                          <a:stretch>
                            <a:fillRect/>
                          </a:stretch>
                        </pic:blipFill>
                        <pic:spPr>
                          <a:xfrm>
                            <a:off x="0" y="0"/>
                            <a:ext cx="2462530" cy="1556385"/>
                          </a:xfrm>
                          <a:prstGeom prst="rect">
                            <a:avLst/>
                          </a:prstGeom>
                          <a:noFill/>
                          <a:ln>
                            <a:noFill/>
                          </a:ln>
                        </pic:spPr>
                      </pic:pic>
                    </a:graphicData>
                  </a:graphic>
                </wp:inline>
              </w:drawing>
            </w:r>
          </w:p>
          <w:p>
            <w:pPr>
              <w:numPr>
                <w:ilvl w:val="0"/>
                <w:numId w:val="0"/>
              </w:numPr>
              <w:spacing w:line="360" w:lineRule="auto"/>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通过图片展示、案例分享，林莉莉教授开展浅显易懂的科普讲座。通过系统科普讲座，学生们懂得春季皮肤过敏不能一概而论，不同的皮肤疾患的发病原因、临床表现、治疗和预防方法是不一样的；生活中要注重保湿护肤，做好防晒，可以使用具有修复和保护皮肤屏障功能的医用护肤品，尽量戴防晒帽或打防晒伞，避免使用粉底和彩妆，慎重使用防晒霜；当皮肤过敏症状加重时要及时就，切勿自行用药，特别是含激素的外用药。本次讲座主题突出、实用性强，形式活泼生动，受到了青年学生的好评！</w:t>
            </w:r>
          </w:p>
          <w:p>
            <w:pPr>
              <w:numPr>
                <w:ilvl w:val="0"/>
                <w:numId w:val="0"/>
              </w:numPr>
              <w:spacing w:line="360" w:lineRule="auto"/>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8、4月12日学会科普专家孙东东教授带领学会会员一行，赴共建单位南京市仙林实验幼儿园，开展中华传统功法进校园科普与展演活动。通过五禽戏以及中华武术的交流展示，增进学龄前儿童对武术以及中医药传统功法的了解，也进一步强化了他们对中华优秀文化的情感和认同。五禽戏是中医药传统导引养生的重要功法，系国家级非物质文化遗产项目，“五禽戏”展示将虎之威猛、鹿之安舒、熊之沉稳、猿之灵巧与鸟之轻捷一一展现。武术长拳表演，一拳一掌一指间，充满了英勇之气，为学龄前儿童带来一场视觉盛宴。活动受到了南京市仙林实验幼儿园的欢迎和感谢。</w:t>
            </w:r>
          </w:p>
          <w:p>
            <w:pPr>
              <w:numPr>
                <w:ilvl w:val="0"/>
                <w:numId w:val="0"/>
              </w:numPr>
              <w:spacing w:line="360" w:lineRule="auto"/>
              <w:ind w:leftChars="0"/>
              <w:rPr>
                <w:rFonts w:hint="eastAsia" w:ascii="华文楷体" w:hAnsi="华文楷体" w:eastAsia="华文楷体" w:cs="华文楷体"/>
              </w:rPr>
            </w:pPr>
            <w:r>
              <w:rPr>
                <w:rFonts w:hint="eastAsia" w:ascii="华文楷体" w:hAnsi="华文楷体" w:eastAsia="华文楷体" w:cs="华文楷体"/>
              </w:rPr>
              <w:drawing>
                <wp:inline distT="0" distB="0" distL="114300" distR="114300">
                  <wp:extent cx="2333625" cy="1567180"/>
                  <wp:effectExtent l="0" t="0" r="952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333625" cy="1567180"/>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2524760" cy="1597660"/>
                  <wp:effectExtent l="0" t="0" r="889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2524760" cy="1597660"/>
                          </a:xfrm>
                          <a:prstGeom prst="rect">
                            <a:avLst/>
                          </a:prstGeom>
                          <a:noFill/>
                          <a:ln>
                            <a:noFill/>
                          </a:ln>
                        </pic:spPr>
                      </pic:pic>
                    </a:graphicData>
                  </a:graphic>
                </wp:inline>
              </w:drawing>
            </w:r>
          </w:p>
          <w:p>
            <w:pPr>
              <w:numPr>
                <w:ilvl w:val="0"/>
                <w:numId w:val="0"/>
              </w:numPr>
              <w:spacing w:line="360" w:lineRule="auto"/>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lang w:val="en-US" w:eastAsia="zh-CN"/>
              </w:rPr>
              <w:t>9、</w:t>
            </w:r>
            <w:r>
              <w:rPr>
                <w:rFonts w:hint="eastAsia" w:ascii="华文楷体" w:hAnsi="华文楷体" w:eastAsia="华文楷体" w:cs="华文楷体"/>
                <w:b/>
                <w:bCs/>
                <w:sz w:val="24"/>
                <w:szCs w:val="24"/>
                <w:lang w:val="en-US" w:eastAsia="zh-CN"/>
              </w:rPr>
              <w:t>4月6日学会在苏州卫生职业技术学院书院校区第一报告厅开展“生殖健康关乎你我他”的健康主题科普讲座，并邀请苏州大学附属第一医院生殖医学中心茅彩萍主任主讲。讲座采取线下+线上方式，共有约350名同学和老师参加。茅彩萍教授从我国人口发展面临的“低生育率、老龄化”危机入题，深入浅出的介绍了生殖健康的现状、生殖遗传疾病、辅助生殖技术（ART）及该技术面临的安全性与有效性等知识，尤其谈到人工辅助生殖面临的各种医学伦理问题，让与会师生受到了深刻的生命伦理教育。利用ART技术来达到精准缔造健康子代生命，亟待基础研究和临床实践不断碰撞，互相发现问题、解决问题，这样才能促进生殖医学与胚胎源性疾病防治的协同创新，从源头上防范以降低出生缺陷，提高人口素质。</w:t>
            </w:r>
          </w:p>
          <w:p>
            <w:pPr>
              <w:numPr>
                <w:ilvl w:val="0"/>
                <w:numId w:val="0"/>
              </w:numPr>
              <w:spacing w:line="360" w:lineRule="auto"/>
              <w:rPr>
                <w:rFonts w:hint="eastAsia" w:ascii="华文楷体" w:hAnsi="华文楷体" w:eastAsia="华文楷体" w:cs="华文楷体"/>
                <w:sz w:val="22"/>
                <w:szCs w:val="22"/>
                <w:lang w:val="en-US" w:eastAsia="zh-CN"/>
              </w:rPr>
            </w:pPr>
            <w:r>
              <w:rPr>
                <w:rFonts w:hint="eastAsia" w:ascii="华文楷体" w:hAnsi="华文楷体" w:eastAsia="华文楷体" w:cs="华文楷体"/>
              </w:rPr>
              <w:drawing>
                <wp:inline distT="0" distB="0" distL="114300" distR="114300">
                  <wp:extent cx="2335530" cy="173355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335530" cy="1733550"/>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2284095" cy="1725295"/>
                  <wp:effectExtent l="0" t="0" r="19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2284095" cy="1725295"/>
                          </a:xfrm>
                          <a:prstGeom prst="rect">
                            <a:avLst/>
                          </a:prstGeom>
                          <a:noFill/>
                          <a:ln>
                            <a:noFill/>
                          </a:ln>
                        </pic:spPr>
                      </pic:pic>
                    </a:graphicData>
                  </a:graphic>
                </wp:inline>
              </w:drawing>
            </w:r>
          </w:p>
          <w:p>
            <w:pPr>
              <w:numPr>
                <w:ilvl w:val="0"/>
                <w:numId w:val="0"/>
              </w:numPr>
              <w:spacing w:line="360" w:lineRule="auto"/>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让生命拥有健康的开始，让每个生命都趋于完美！</w:t>
            </w:r>
          </w:p>
          <w:p>
            <w:pPr>
              <w:numPr>
                <w:ilvl w:val="0"/>
                <w:numId w:val="0"/>
              </w:num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lang w:val="en-US" w:eastAsia="zh-CN"/>
              </w:rPr>
              <w:t>10、</w:t>
            </w:r>
            <w:r>
              <w:rPr>
                <w:rFonts w:hint="eastAsia" w:ascii="华文楷体" w:hAnsi="华文楷体" w:eastAsia="华文楷体" w:cs="华文楷体"/>
                <w:b/>
                <w:bCs/>
                <w:sz w:val="24"/>
                <w:szCs w:val="24"/>
                <w:lang w:val="en-US" w:eastAsia="zh-CN"/>
              </w:rPr>
              <w:t>为增强研究生和大学生同学的自救互救能力，推进新时代文明实践科普宣传建设，学习和掌握急救技能，有助于在紧急情况发生时及时自救或对他人实施救助。3月29日，学会科普专家陈刚领副教授为研究生和本科生同学开展题为《常用的急救知识与技能》的科普讲座。</w:t>
            </w:r>
          </w:p>
          <w:p>
            <w:pPr>
              <w:numPr>
                <w:ilvl w:val="0"/>
                <w:numId w:val="0"/>
              </w:numPr>
              <w:spacing w:line="360" w:lineRule="auto"/>
              <w:jc w:val="both"/>
              <w:rPr>
                <w:rFonts w:hint="eastAsia" w:ascii="华文楷体" w:hAnsi="华文楷体" w:eastAsia="华文楷体" w:cs="华文楷体"/>
              </w:rPr>
            </w:pPr>
            <w:r>
              <w:rPr>
                <w:rFonts w:hint="eastAsia" w:ascii="华文楷体" w:hAnsi="华文楷体" w:eastAsia="华文楷体" w:cs="华文楷体"/>
              </w:rPr>
              <w:drawing>
                <wp:inline distT="0" distB="0" distL="114300" distR="114300">
                  <wp:extent cx="2390140" cy="1564005"/>
                  <wp:effectExtent l="0" t="0" r="1016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2390140" cy="1564005"/>
                          </a:xfrm>
                          <a:prstGeom prst="rect">
                            <a:avLst/>
                          </a:prstGeom>
                          <a:noFill/>
                          <a:ln>
                            <a:noFill/>
                          </a:ln>
                        </pic:spPr>
                      </pic:pic>
                    </a:graphicData>
                  </a:graphic>
                </wp:inline>
              </w:drawing>
            </w:r>
            <w:r>
              <w:rPr>
                <w:rFonts w:hint="eastAsia" w:ascii="华文楷体" w:hAnsi="华文楷体" w:eastAsia="华文楷体" w:cs="华文楷体"/>
              </w:rPr>
              <w:drawing>
                <wp:inline distT="0" distB="0" distL="114300" distR="114300">
                  <wp:extent cx="2132965" cy="1537335"/>
                  <wp:effectExtent l="0" t="0" r="63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2132965" cy="1537335"/>
                          </a:xfrm>
                          <a:prstGeom prst="rect">
                            <a:avLst/>
                          </a:prstGeom>
                          <a:noFill/>
                          <a:ln>
                            <a:noFill/>
                          </a:ln>
                        </pic:spPr>
                      </pic:pic>
                    </a:graphicData>
                  </a:graphic>
                </wp:inline>
              </w:drawing>
            </w:r>
          </w:p>
          <w:p>
            <w:pPr>
              <w:numPr>
                <w:ilvl w:val="0"/>
                <w:numId w:val="0"/>
              </w:numPr>
              <w:spacing w:line="360" w:lineRule="auto"/>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陈刚领副教授首先通过列举实例，阐释掌握急救知识和技能的重要性、必要性；并针对一些突发情况，包括烫伤、溺水、踩踏、触电、出血等的急救方法展开详细讲解。陈刚领副教授勉励同学们：拥有健康的体魄是学习知识，实现理想的前提；同学们在日常的学习生活中应重视个人健康和安全，主动学习和掌握常用的急救知识、技能，以在遇到紧急情况时正确应对，最大限度降低损失。此次讲座使同学们认识到掌握急救知识和技能的重要性，调动了同学们学习急救知识的主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textAlignment w:val="baseline"/>
              <w:rPr>
                <w:rFonts w:hint="eastAsia" w:ascii="华文楷体" w:hAnsi="华文楷体" w:eastAsia="华文楷体" w:cs="华文楷体"/>
                <w:b/>
                <w:bCs/>
                <w:kern w:val="2"/>
                <w:sz w:val="24"/>
                <w:szCs w:val="24"/>
                <w:lang w:val="en-US" w:eastAsia="zh-CN" w:bidi="ar-SA"/>
              </w:rPr>
            </w:pPr>
            <w:r>
              <w:rPr>
                <w:rFonts w:hint="eastAsia" w:ascii="华文楷体" w:hAnsi="华文楷体" w:eastAsia="华文楷体" w:cs="华文楷体"/>
                <w:b/>
                <w:bCs/>
                <w:sz w:val="24"/>
                <w:szCs w:val="24"/>
                <w:lang w:val="en-US" w:eastAsia="zh-CN"/>
              </w:rPr>
              <w:t>11、</w:t>
            </w:r>
            <w:r>
              <w:rPr>
                <w:rFonts w:hint="eastAsia" w:ascii="华文楷体" w:hAnsi="华文楷体" w:eastAsia="华文楷体" w:cs="华文楷体"/>
                <w:b/>
                <w:bCs/>
                <w:kern w:val="2"/>
                <w:sz w:val="24"/>
                <w:szCs w:val="24"/>
                <w:lang w:val="en-US" w:eastAsia="zh-CN" w:bidi="ar-SA"/>
              </w:rPr>
              <w:t>5月22日，学会科普专家在徐州医科大学举行“药学植物园开放科普日”主题科普活动，通过组织参观、香囊制作等方式，介绍了中草药知识和香囊制作方法。并结合中药香囊的文化背景与功效，通过现场展示与示范，详细地介绍制作工序。在学会专家的指导下，同学们选择喜欢的丝线、布料和香料，通过剪料、缝布、装材、封口等工序，陆续制作出一个个小巧精致的香囊，现场欢声笑语、馨香盈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360"/>
              <w:textAlignment w:val="baseline"/>
              <w:rPr>
                <w:rFonts w:hint="eastAsia" w:ascii="华文楷体" w:hAnsi="华文楷体" w:eastAsia="华文楷体" w:cs="华文楷体"/>
                <w:i w:val="0"/>
                <w:iCs w:val="0"/>
                <w:caps w:val="0"/>
                <w:color w:val="373737"/>
                <w:spacing w:val="0"/>
                <w:sz w:val="21"/>
                <w:szCs w:val="21"/>
                <w:shd w:val="clear" w:fill="FFFFFF"/>
                <w:vertAlign w:val="baseline"/>
              </w:rPr>
            </w:pPr>
            <w:r>
              <w:rPr>
                <w:rFonts w:hint="eastAsia" w:ascii="华文楷体" w:hAnsi="华文楷体" w:eastAsia="华文楷体" w:cs="华文楷体"/>
                <w:sz w:val="24"/>
                <w:szCs w:val="24"/>
              </w:rPr>
              <w:drawing>
                <wp:inline distT="0" distB="0" distL="114300" distR="114300">
                  <wp:extent cx="2329180" cy="1552575"/>
                  <wp:effectExtent l="0" t="0" r="1397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4"/>
                          <a:stretch>
                            <a:fillRect/>
                          </a:stretch>
                        </pic:blipFill>
                        <pic:spPr>
                          <a:xfrm>
                            <a:off x="0" y="0"/>
                            <a:ext cx="2329180" cy="1552575"/>
                          </a:xfrm>
                          <a:prstGeom prst="rect">
                            <a:avLst/>
                          </a:prstGeom>
                          <a:noFill/>
                          <a:ln w="9525">
                            <a:noFill/>
                          </a:ln>
                        </pic:spPr>
                      </pic:pic>
                    </a:graphicData>
                  </a:graphic>
                </wp:inline>
              </w:drawing>
            </w:r>
            <w:r>
              <w:rPr>
                <w:rFonts w:hint="eastAsia" w:ascii="华文楷体" w:hAnsi="华文楷体" w:eastAsia="华文楷体" w:cs="华文楷体"/>
                <w:i w:val="0"/>
                <w:iCs w:val="0"/>
                <w:caps w:val="0"/>
                <w:color w:val="373737"/>
                <w:spacing w:val="0"/>
                <w:sz w:val="21"/>
                <w:szCs w:val="21"/>
                <w:shd w:val="clear" w:fill="FFFFFF"/>
                <w:vertAlign w:val="baseline"/>
                <w:lang w:eastAsia="zh-CN"/>
              </w:rPr>
              <w:drawing>
                <wp:inline distT="0" distB="0" distL="114300" distR="114300">
                  <wp:extent cx="2364105" cy="1576705"/>
                  <wp:effectExtent l="0" t="0" r="17145" b="4445"/>
                  <wp:docPr id="7" name="图片 7" descr="5b6282a784444ad16c86766825bc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b6282a784444ad16c86766825bc803"/>
                          <pic:cNvPicPr>
                            <a:picLocks noChangeAspect="1"/>
                          </pic:cNvPicPr>
                        </pic:nvPicPr>
                        <pic:blipFill>
                          <a:blip r:embed="rId25"/>
                          <a:stretch>
                            <a:fillRect/>
                          </a:stretch>
                        </pic:blipFill>
                        <pic:spPr>
                          <a:xfrm>
                            <a:off x="0" y="0"/>
                            <a:ext cx="2364105" cy="1576705"/>
                          </a:xfrm>
                          <a:prstGeom prst="rect">
                            <a:avLst/>
                          </a:prstGeom>
                        </pic:spPr>
                      </pic:pic>
                    </a:graphicData>
                  </a:graphic>
                </wp:inline>
              </w:drawing>
            </w:r>
          </w:p>
          <w:p>
            <w:pPr>
              <w:numPr>
                <w:ilvl w:val="0"/>
                <w:numId w:val="0"/>
              </w:numPr>
              <w:spacing w:line="360" w:lineRule="auto"/>
              <w:jc w:val="left"/>
              <w:rPr>
                <w:rFonts w:hint="eastAsia" w:ascii="华文楷体" w:hAnsi="华文楷体" w:eastAsia="华文楷体" w:cs="华文楷体"/>
                <w:b/>
                <w:bCs/>
                <w:kern w:val="2"/>
                <w:sz w:val="24"/>
                <w:szCs w:val="24"/>
                <w:lang w:val="en-US" w:eastAsia="zh-CN" w:bidi="ar-SA"/>
              </w:rPr>
            </w:pPr>
            <w:r>
              <w:rPr>
                <w:rFonts w:hint="eastAsia" w:ascii="华文楷体" w:hAnsi="华文楷体" w:eastAsia="华文楷体" w:cs="华文楷体"/>
                <w:b/>
                <w:bCs/>
                <w:kern w:val="2"/>
                <w:sz w:val="24"/>
                <w:szCs w:val="24"/>
                <w:lang w:val="en-US" w:eastAsia="zh-CN" w:bidi="ar-SA"/>
              </w:rPr>
              <w:t>本次活动，通过普及中药知识和传统香囊制作传播中医药文化，同时参观生命科学馆，激发青少年爱科学、学科学、用科学的兴趣，既浓郁校园中医药文化氛围，又推动文化传承创新。营造继承发扬优秀传统文化、弘扬科学精神的社会风尚。</w:t>
            </w:r>
          </w:p>
          <w:p>
            <w:pPr>
              <w:spacing w:line="360" w:lineRule="auto"/>
              <w:rPr>
                <w:rStyle w:val="5"/>
                <w:rFonts w:hint="eastAsia" w:ascii="华文楷体" w:hAnsi="华文楷体" w:eastAsia="华文楷体" w:cs="华文楷体"/>
                <w:b/>
                <w:bCs w:val="0"/>
                <w:color w:val="373737"/>
                <w:sz w:val="24"/>
                <w:szCs w:val="24"/>
                <w:shd w:val="clear" w:color="auto" w:fill="FFFFFF"/>
                <w:lang w:val="en-US" w:eastAsia="zh-CN"/>
              </w:rPr>
            </w:pPr>
            <w:r>
              <w:rPr>
                <w:rFonts w:hint="eastAsia" w:ascii="华文楷体" w:hAnsi="华文楷体" w:eastAsia="华文楷体" w:cs="华文楷体"/>
                <w:b/>
                <w:bCs/>
                <w:sz w:val="24"/>
                <w:szCs w:val="24"/>
                <w:lang w:val="en-US" w:eastAsia="zh-CN"/>
              </w:rPr>
              <w:t>12、</w:t>
            </w:r>
            <w:r>
              <w:rPr>
                <w:rFonts w:hint="eastAsia" w:ascii="华文楷体" w:hAnsi="华文楷体" w:eastAsia="华文楷体" w:cs="华文楷体"/>
                <w:b/>
                <w:bCs w:val="0"/>
                <w:sz w:val="24"/>
                <w:szCs w:val="24"/>
                <w:lang w:val="en-US" w:eastAsia="zh-CN"/>
              </w:rPr>
              <w:t>在</w:t>
            </w:r>
            <w:r>
              <w:rPr>
                <w:rFonts w:hint="eastAsia" w:ascii="华文楷体" w:hAnsi="华文楷体" w:eastAsia="华文楷体" w:cs="华文楷体"/>
                <w:b/>
                <w:bCs w:val="0"/>
                <w:sz w:val="24"/>
                <w:szCs w:val="24"/>
              </w:rPr>
              <w:t>“</w:t>
            </w:r>
            <w:r>
              <w:rPr>
                <w:rFonts w:hint="eastAsia" w:ascii="华文楷体" w:hAnsi="华文楷体" w:eastAsia="华文楷体" w:cs="华文楷体"/>
                <w:b/>
                <w:bCs w:val="0"/>
                <w:color w:val="000000"/>
                <w:sz w:val="24"/>
                <w:szCs w:val="24"/>
              </w:rPr>
              <w:t>第七个全国科技工作者日之际</w:t>
            </w:r>
            <w:r>
              <w:rPr>
                <w:rFonts w:hint="eastAsia" w:ascii="华文楷体" w:hAnsi="华文楷体" w:eastAsia="华文楷体" w:cs="华文楷体"/>
                <w:b/>
                <w:bCs w:val="0"/>
                <w:color w:val="000000"/>
                <w:sz w:val="24"/>
                <w:szCs w:val="24"/>
                <w:lang w:eastAsia="zh-CN"/>
              </w:rPr>
              <w:t>，</w:t>
            </w:r>
            <w:r>
              <w:rPr>
                <w:rFonts w:hint="eastAsia" w:ascii="华文楷体" w:hAnsi="华文楷体" w:eastAsia="华文楷体" w:cs="华文楷体"/>
                <w:b/>
                <w:bCs w:val="0"/>
                <w:color w:val="000000"/>
                <w:sz w:val="24"/>
                <w:szCs w:val="24"/>
                <w:lang w:val="en-US" w:eastAsia="zh-CN"/>
              </w:rPr>
              <w:t>6月9日下午学会在</w:t>
            </w:r>
            <w:r>
              <w:rPr>
                <w:rFonts w:hint="eastAsia" w:ascii="华文楷体" w:hAnsi="华文楷体" w:eastAsia="华文楷体" w:cs="华文楷体"/>
                <w:b/>
                <w:bCs w:val="0"/>
                <w:color w:val="000000"/>
                <w:sz w:val="24"/>
                <w:szCs w:val="24"/>
                <w:shd w:val="clear" w:color="auto" w:fill="FFFFFF"/>
                <w:lang w:val="en-US" w:eastAsia="zh-CN"/>
              </w:rPr>
              <w:t>南京</w:t>
            </w:r>
            <w:r>
              <w:rPr>
                <w:rFonts w:hint="eastAsia" w:ascii="华文楷体" w:hAnsi="华文楷体" w:eastAsia="华文楷体" w:cs="华文楷体"/>
                <w:b/>
                <w:bCs w:val="0"/>
                <w:sz w:val="24"/>
                <w:szCs w:val="24"/>
                <w:lang w:val="en-US" w:eastAsia="zh-CN"/>
              </w:rPr>
              <w:t>汉西门社区开展“闻香识本草，巧手做香囊”端午节手工制作活动。</w:t>
            </w:r>
          </w:p>
          <w:p>
            <w:pPr>
              <w:spacing w:line="360" w:lineRule="auto"/>
              <w:ind w:firstLine="562" w:firstLineChars="200"/>
              <w:rPr>
                <w:rFonts w:hint="eastAsia" w:ascii="华文楷体" w:hAnsi="华文楷体" w:eastAsia="华文楷体" w:cs="华文楷体"/>
                <w:b/>
                <w:bCs w:val="0"/>
                <w:sz w:val="28"/>
                <w:szCs w:val="28"/>
                <w:lang w:eastAsia="zh-CN"/>
              </w:rPr>
            </w:pPr>
            <w:r>
              <w:rPr>
                <w:rFonts w:hint="eastAsia" w:ascii="华文楷体" w:hAnsi="华文楷体" w:eastAsia="华文楷体" w:cs="华文楷体"/>
                <w:b/>
                <w:bCs w:val="0"/>
                <w:sz w:val="28"/>
                <w:szCs w:val="28"/>
                <w:lang w:eastAsia="zh-CN"/>
              </w:rPr>
              <w:drawing>
                <wp:inline distT="0" distB="0" distL="114300" distR="114300">
                  <wp:extent cx="2405380" cy="1803400"/>
                  <wp:effectExtent l="0" t="0" r="7620" b="0"/>
                  <wp:docPr id="9" name="图片 9" descr="6e74378b839270c9eddea3d5968e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e74378b839270c9eddea3d5968eedb"/>
                          <pic:cNvPicPr>
                            <a:picLocks noChangeAspect="1"/>
                          </pic:cNvPicPr>
                        </pic:nvPicPr>
                        <pic:blipFill>
                          <a:blip r:embed="rId26"/>
                          <a:stretch>
                            <a:fillRect/>
                          </a:stretch>
                        </pic:blipFill>
                        <pic:spPr>
                          <a:xfrm>
                            <a:off x="0" y="0"/>
                            <a:ext cx="2405380" cy="1803400"/>
                          </a:xfrm>
                          <a:prstGeom prst="rect">
                            <a:avLst/>
                          </a:prstGeom>
                        </pic:spPr>
                      </pic:pic>
                    </a:graphicData>
                  </a:graphic>
                </wp:inline>
              </w:drawing>
            </w:r>
            <w:r>
              <w:rPr>
                <w:rStyle w:val="5"/>
                <w:rFonts w:hint="eastAsia" w:ascii="华文楷体" w:hAnsi="华文楷体" w:eastAsia="华文楷体" w:cs="华文楷体"/>
                <w:b/>
                <w:bCs w:val="0"/>
                <w:color w:val="373737"/>
                <w:sz w:val="28"/>
                <w:szCs w:val="28"/>
                <w:shd w:val="clear" w:color="auto" w:fill="FFFFFF"/>
                <w:lang w:val="en-US" w:eastAsia="zh-CN"/>
              </w:rPr>
              <w:drawing>
                <wp:inline distT="0" distB="0" distL="114300" distR="114300">
                  <wp:extent cx="2334895" cy="1751965"/>
                  <wp:effectExtent l="0" t="0" r="1905" b="635"/>
                  <wp:docPr id="8" name="图片 8" descr="581e1b51519aa2c79e57865a7edb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1e1b51519aa2c79e57865a7edb82d"/>
                          <pic:cNvPicPr>
                            <a:picLocks noChangeAspect="1"/>
                          </pic:cNvPicPr>
                        </pic:nvPicPr>
                        <pic:blipFill>
                          <a:blip r:embed="rId27"/>
                          <a:stretch>
                            <a:fillRect/>
                          </a:stretch>
                        </pic:blipFill>
                        <pic:spPr>
                          <a:xfrm>
                            <a:off x="0" y="0"/>
                            <a:ext cx="2334895" cy="1751965"/>
                          </a:xfrm>
                          <a:prstGeom prst="rect">
                            <a:avLst/>
                          </a:prstGeom>
                        </pic:spPr>
                      </pic:pic>
                    </a:graphicData>
                  </a:graphic>
                </wp:inline>
              </w:drawing>
            </w:r>
          </w:p>
          <w:p>
            <w:pPr>
              <w:spacing w:line="360" w:lineRule="auto"/>
              <w:ind w:firstLine="482" w:firstLineChars="200"/>
              <w:jc w:val="left"/>
              <w:rPr>
                <w:rFonts w:hint="eastAsia" w:ascii="华文楷体" w:hAnsi="华文楷体" w:eastAsia="华文楷体" w:cs="华文楷体"/>
                <w:b/>
                <w:bCs w:val="0"/>
                <w:sz w:val="24"/>
                <w:szCs w:val="24"/>
                <w:lang w:val="en-US" w:eastAsia="zh-CN"/>
              </w:rPr>
            </w:pPr>
            <w:r>
              <w:rPr>
                <w:rFonts w:hint="eastAsia" w:ascii="华文楷体" w:hAnsi="华文楷体" w:eastAsia="华文楷体" w:cs="华文楷体"/>
                <w:b/>
                <w:bCs w:val="0"/>
                <w:sz w:val="24"/>
                <w:szCs w:val="24"/>
              </w:rPr>
              <w:t>中医药如何现代化传承发展创新，如何引领</w:t>
            </w:r>
            <w:r>
              <w:rPr>
                <w:rFonts w:hint="eastAsia" w:ascii="华文楷体" w:hAnsi="华文楷体" w:eastAsia="华文楷体" w:cs="华文楷体"/>
                <w:b/>
                <w:bCs w:val="0"/>
                <w:sz w:val="24"/>
                <w:szCs w:val="24"/>
                <w:lang w:val="en-US" w:eastAsia="zh-CN"/>
              </w:rPr>
              <w:t>下一代</w:t>
            </w:r>
            <w:r>
              <w:rPr>
                <w:rFonts w:hint="eastAsia" w:ascii="华文楷体" w:hAnsi="华文楷体" w:eastAsia="华文楷体" w:cs="华文楷体"/>
                <w:b/>
                <w:bCs w:val="0"/>
                <w:sz w:val="24"/>
                <w:szCs w:val="24"/>
              </w:rPr>
              <w:t>走近中医药世界，感受中医药文化的博大精深，</w:t>
            </w:r>
            <w:r>
              <w:rPr>
                <w:rFonts w:hint="eastAsia" w:ascii="华文楷体" w:hAnsi="华文楷体" w:eastAsia="华文楷体" w:cs="华文楷体"/>
                <w:b/>
                <w:bCs w:val="0"/>
                <w:sz w:val="24"/>
                <w:szCs w:val="24"/>
                <w:lang w:val="en-US" w:eastAsia="zh-CN"/>
              </w:rPr>
              <w:t>使社区居民和小学生</w:t>
            </w:r>
            <w:r>
              <w:rPr>
                <w:rFonts w:hint="eastAsia" w:ascii="华文楷体" w:hAnsi="华文楷体" w:eastAsia="华文楷体" w:cs="华文楷体"/>
                <w:b/>
                <w:bCs w:val="0"/>
                <w:sz w:val="24"/>
                <w:szCs w:val="24"/>
              </w:rPr>
              <w:t>认同中医药文化，激发他们对中医</w:t>
            </w:r>
            <w:r>
              <w:rPr>
                <w:rFonts w:hint="eastAsia" w:ascii="华文楷体" w:hAnsi="华文楷体" w:eastAsia="华文楷体" w:cs="华文楷体"/>
                <w:b/>
                <w:bCs w:val="0"/>
                <w:sz w:val="24"/>
                <w:szCs w:val="24"/>
                <w:lang w:val="en-US" w:eastAsia="zh-CN"/>
              </w:rPr>
              <w:t>药</w:t>
            </w:r>
            <w:r>
              <w:rPr>
                <w:rFonts w:hint="eastAsia" w:ascii="华文楷体" w:hAnsi="华文楷体" w:eastAsia="华文楷体" w:cs="华文楷体"/>
                <w:b/>
                <w:bCs w:val="0"/>
                <w:sz w:val="24"/>
                <w:szCs w:val="24"/>
              </w:rPr>
              <w:t>的热爱</w:t>
            </w:r>
            <w:r>
              <w:rPr>
                <w:rFonts w:hint="eastAsia" w:ascii="华文楷体" w:hAnsi="华文楷体" w:eastAsia="华文楷体" w:cs="华文楷体"/>
                <w:b/>
                <w:bCs w:val="0"/>
                <w:sz w:val="24"/>
                <w:szCs w:val="24"/>
                <w:lang w:eastAsia="zh-CN"/>
              </w:rPr>
              <w:t>。</w:t>
            </w:r>
            <w:r>
              <w:rPr>
                <w:rFonts w:hint="eastAsia" w:ascii="华文楷体" w:hAnsi="华文楷体" w:eastAsia="华文楷体" w:cs="华文楷体"/>
                <w:b/>
                <w:bCs w:val="0"/>
                <w:sz w:val="24"/>
                <w:szCs w:val="24"/>
                <w:lang w:val="en-US" w:eastAsia="zh-CN"/>
              </w:rPr>
              <w:t>本次端午节手工制作科普活动，学会科普专家</w:t>
            </w:r>
            <w:r>
              <w:rPr>
                <w:rFonts w:hint="eastAsia" w:ascii="华文楷体" w:hAnsi="华文楷体" w:eastAsia="华文楷体" w:cs="华文楷体"/>
                <w:b/>
                <w:bCs w:val="0"/>
                <w:sz w:val="24"/>
                <w:szCs w:val="24"/>
              </w:rPr>
              <w:t>谭喜莹</w:t>
            </w:r>
            <w:r>
              <w:rPr>
                <w:rFonts w:hint="eastAsia" w:ascii="华文楷体" w:hAnsi="华文楷体" w:eastAsia="华文楷体" w:cs="华文楷体"/>
                <w:b/>
                <w:bCs w:val="0"/>
                <w:sz w:val="24"/>
                <w:szCs w:val="24"/>
                <w:lang w:val="en-US" w:eastAsia="zh-CN"/>
              </w:rPr>
              <w:t>主任药师为社区居民科普了“神奇的中药香囊”</w:t>
            </w:r>
          </w:p>
          <w:p>
            <w:pPr>
              <w:spacing w:line="360" w:lineRule="auto"/>
              <w:ind w:firstLine="482" w:firstLineChars="200"/>
              <w:jc w:val="left"/>
              <w:rPr>
                <w:rStyle w:val="5"/>
                <w:rFonts w:hint="eastAsia" w:ascii="华文楷体" w:hAnsi="华文楷体" w:eastAsia="华文楷体" w:cs="华文楷体"/>
                <w:b/>
                <w:bCs w:val="0"/>
                <w:color w:val="373737"/>
                <w:sz w:val="24"/>
                <w:szCs w:val="24"/>
                <w:shd w:val="clear" w:color="auto" w:fill="FFFFFF"/>
                <w:lang w:val="en-US" w:eastAsia="zh-CN"/>
              </w:rPr>
            </w:pPr>
            <w:r>
              <w:rPr>
                <w:rFonts w:hint="eastAsia" w:ascii="华文楷体" w:hAnsi="华文楷体" w:eastAsia="华文楷体" w:cs="华文楷体"/>
                <w:b/>
                <w:bCs w:val="0"/>
                <w:sz w:val="24"/>
                <w:szCs w:val="24"/>
                <w:lang w:val="en-US" w:eastAsia="zh-CN"/>
              </w:rPr>
              <w:t>他首先从香囊的起源、中药香囊功效、防感香囊的组成、香囊制作等方面介绍了早在周代有佩戴香囊，沐浴兰汤的习俗。之后，香囊以复方、方剂的形态广泛用于防治疾病并延用现代。科普讲座中重点介绍了国医大师周仲瑛教授治疗感冒的经验方，在讲课中现场互动活跃，特别是</w:t>
            </w:r>
            <w:r>
              <w:rPr>
                <w:rStyle w:val="5"/>
                <w:rFonts w:hint="eastAsia" w:ascii="华文楷体" w:hAnsi="华文楷体" w:eastAsia="华文楷体" w:cs="华文楷体"/>
                <w:b/>
                <w:bCs w:val="0"/>
                <w:color w:val="373737"/>
                <w:sz w:val="24"/>
                <w:szCs w:val="24"/>
                <w:shd w:val="clear" w:color="auto" w:fill="FFFFFF"/>
              </w:rPr>
              <w:t>南京石鼓路小学二年级学生</w:t>
            </w:r>
            <w:r>
              <w:rPr>
                <w:rStyle w:val="5"/>
                <w:rFonts w:hint="eastAsia" w:ascii="华文楷体" w:hAnsi="华文楷体" w:eastAsia="华文楷体" w:cs="华文楷体"/>
                <w:b/>
                <w:bCs w:val="0"/>
                <w:color w:val="373737"/>
                <w:sz w:val="24"/>
                <w:szCs w:val="24"/>
                <w:shd w:val="clear" w:color="auto" w:fill="FFFFFF"/>
                <w:lang w:val="en-US" w:eastAsia="zh-CN"/>
              </w:rPr>
              <w:t>积极参与并回答正确。</w:t>
            </w:r>
            <w:r>
              <w:rPr>
                <w:rFonts w:hint="eastAsia" w:ascii="华文楷体" w:hAnsi="华文楷体" w:eastAsia="华文楷体" w:cs="华文楷体"/>
                <w:b/>
                <w:bCs w:val="0"/>
                <w:sz w:val="24"/>
                <w:szCs w:val="24"/>
                <w:lang w:val="en-US" w:eastAsia="zh-CN"/>
              </w:rPr>
              <w:t>在</w:t>
            </w:r>
            <w:r>
              <w:rPr>
                <w:rFonts w:hint="eastAsia" w:ascii="华文楷体" w:hAnsi="华文楷体" w:eastAsia="华文楷体" w:cs="华文楷体"/>
                <w:b/>
                <w:bCs w:val="0"/>
                <w:sz w:val="24"/>
                <w:szCs w:val="24"/>
              </w:rPr>
              <w:t>制作香囊</w:t>
            </w:r>
            <w:r>
              <w:rPr>
                <w:rFonts w:hint="eastAsia" w:ascii="华文楷体" w:hAnsi="华文楷体" w:eastAsia="华文楷体" w:cs="华文楷体"/>
                <w:b/>
                <w:bCs w:val="0"/>
                <w:sz w:val="24"/>
                <w:szCs w:val="24"/>
                <w:lang w:val="en-US" w:eastAsia="zh-CN"/>
              </w:rPr>
              <w:t>的过程中，学会</w:t>
            </w:r>
            <w:r>
              <w:rPr>
                <w:rFonts w:hint="eastAsia" w:ascii="华文楷体" w:hAnsi="华文楷体" w:eastAsia="华文楷体" w:cs="华文楷体"/>
                <w:b/>
                <w:bCs w:val="0"/>
                <w:color w:val="000000"/>
                <w:sz w:val="24"/>
                <w:szCs w:val="24"/>
                <w:shd w:val="clear" w:color="auto" w:fill="FFFFFF"/>
                <w:lang w:val="en-US" w:eastAsia="zh-CN"/>
              </w:rPr>
              <w:t>还为社区居民和小学生准备了科普宣传资料，受到欢迎。</w:t>
            </w:r>
          </w:p>
          <w:p>
            <w:pPr>
              <w:spacing w:line="360" w:lineRule="auto"/>
              <w:ind w:firstLine="562" w:firstLineChars="200"/>
              <w:jc w:val="left"/>
              <w:rPr>
                <w:rStyle w:val="5"/>
                <w:rFonts w:hint="eastAsia" w:ascii="华文楷体" w:hAnsi="华文楷体" w:eastAsia="华文楷体" w:cs="华文楷体"/>
                <w:b/>
                <w:bCs w:val="0"/>
                <w:color w:val="373737"/>
                <w:sz w:val="28"/>
                <w:szCs w:val="28"/>
                <w:shd w:val="clear" w:color="auto" w:fill="FFFFFF"/>
                <w:lang w:val="en-US" w:eastAsia="zh-CN"/>
              </w:rPr>
            </w:pPr>
            <w:r>
              <w:rPr>
                <w:rStyle w:val="5"/>
                <w:rFonts w:hint="eastAsia" w:ascii="华文楷体" w:hAnsi="华文楷体" w:eastAsia="华文楷体" w:cs="华文楷体"/>
                <w:b/>
                <w:bCs w:val="0"/>
                <w:color w:val="373737"/>
                <w:sz w:val="28"/>
                <w:szCs w:val="28"/>
                <w:shd w:val="clear" w:color="auto" w:fill="FFFFFF"/>
                <w:lang w:val="en-US" w:eastAsia="zh-CN"/>
              </w:rPr>
              <w:drawing>
                <wp:inline distT="0" distB="0" distL="114300" distR="114300">
                  <wp:extent cx="2208530" cy="1656080"/>
                  <wp:effectExtent l="0" t="0" r="1270" b="7620"/>
                  <wp:docPr id="14" name="图片 14" descr="91e26a6a8a14779f64e861c304e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e26a6a8a14779f64e861c304e2129"/>
                          <pic:cNvPicPr>
                            <a:picLocks noChangeAspect="1"/>
                          </pic:cNvPicPr>
                        </pic:nvPicPr>
                        <pic:blipFill>
                          <a:blip r:embed="rId28"/>
                          <a:stretch>
                            <a:fillRect/>
                          </a:stretch>
                        </pic:blipFill>
                        <pic:spPr>
                          <a:xfrm>
                            <a:off x="0" y="0"/>
                            <a:ext cx="2208530" cy="1656080"/>
                          </a:xfrm>
                          <a:prstGeom prst="rect">
                            <a:avLst/>
                          </a:prstGeom>
                        </pic:spPr>
                      </pic:pic>
                    </a:graphicData>
                  </a:graphic>
                </wp:inline>
              </w:drawing>
            </w:r>
            <w:r>
              <w:rPr>
                <w:rFonts w:hint="eastAsia" w:ascii="华文楷体" w:hAnsi="华文楷体" w:eastAsia="华文楷体" w:cs="华文楷体"/>
                <w:b/>
                <w:bCs w:val="0"/>
                <w:color w:val="000000"/>
                <w:sz w:val="28"/>
                <w:szCs w:val="28"/>
                <w:shd w:val="clear" w:color="auto" w:fill="FFFFFF"/>
                <w:lang w:val="en-US" w:eastAsia="zh-CN"/>
              </w:rPr>
              <w:drawing>
                <wp:inline distT="0" distB="0" distL="114300" distR="114300">
                  <wp:extent cx="2240915" cy="1680845"/>
                  <wp:effectExtent l="0" t="0" r="6985" b="8255"/>
                  <wp:docPr id="24" name="图片 24" descr="df9413d39b0358f54d9fa966a5f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f9413d39b0358f54d9fa966a5f1587"/>
                          <pic:cNvPicPr>
                            <a:picLocks noChangeAspect="1"/>
                          </pic:cNvPicPr>
                        </pic:nvPicPr>
                        <pic:blipFill>
                          <a:blip r:embed="rId29"/>
                          <a:stretch>
                            <a:fillRect/>
                          </a:stretch>
                        </pic:blipFill>
                        <pic:spPr>
                          <a:xfrm rot="10800000">
                            <a:off x="0" y="0"/>
                            <a:ext cx="2240915" cy="1680845"/>
                          </a:xfrm>
                          <a:prstGeom prst="rect">
                            <a:avLst/>
                          </a:prstGeom>
                        </pic:spPr>
                      </pic:pic>
                    </a:graphicData>
                  </a:graphic>
                </wp:inline>
              </w:drawing>
            </w:r>
          </w:p>
          <w:p>
            <w:pPr>
              <w:adjustRightInd w:val="0"/>
              <w:snapToGrid w:val="0"/>
              <w:spacing w:line="360" w:lineRule="auto"/>
              <w:rPr>
                <w:rFonts w:hint="eastAsia" w:ascii="华文楷体" w:hAnsi="华文楷体" w:eastAsia="华文楷体" w:cs="华文楷体"/>
                <w:b/>
                <w:bCs/>
                <w:sz w:val="24"/>
                <w:szCs w:val="24"/>
              </w:rPr>
            </w:pPr>
            <w:r>
              <w:rPr>
                <w:rStyle w:val="5"/>
                <w:rFonts w:hint="eastAsia" w:ascii="华文楷体" w:hAnsi="华文楷体" w:eastAsia="华文楷体" w:cs="华文楷体"/>
                <w:b/>
                <w:bCs w:val="0"/>
                <w:color w:val="373737"/>
                <w:sz w:val="24"/>
                <w:szCs w:val="24"/>
                <w:shd w:val="clear" w:color="auto" w:fill="FFFFFF"/>
                <w:lang w:val="en-US" w:eastAsia="zh-CN"/>
              </w:rPr>
              <w:t>13、</w:t>
            </w:r>
            <w:r>
              <w:rPr>
                <w:rFonts w:hint="eastAsia" w:ascii="华文楷体" w:hAnsi="华文楷体" w:eastAsia="华文楷体" w:cs="华文楷体"/>
                <w:b/>
                <w:bCs/>
                <w:sz w:val="24"/>
                <w:szCs w:val="24"/>
              </w:rPr>
              <w:t>面对历史性的机遇与挑战，面对广阔市场的无限可能，由南京工业大学主办、江苏省药理学会等单位协办的“医工交叉新机遇，未来健康新力量论坛”于5月19日南京工业大学江浦校区 尚德楼 A1-一楼报告厅举行。 论坛旨在共同探讨生物、医学、药学及材料等领域的合作契机，促进跨专业、跨背景、跨学科学术交流，创新强链，进一步推动医工融合交叉创新与生物医药产业发展实现新跃升。</w:t>
            </w:r>
          </w:p>
          <w:p>
            <w:pPr>
              <w:adjustRightInd w:val="0"/>
              <w:snapToGrid w:val="0"/>
              <w:spacing w:line="360" w:lineRule="auto"/>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drawing>
                <wp:inline distT="0" distB="0" distL="114300" distR="114300">
                  <wp:extent cx="3137535" cy="2459355"/>
                  <wp:effectExtent l="0" t="0" r="12065" b="444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0"/>
                          <a:stretch>
                            <a:fillRect/>
                          </a:stretch>
                        </pic:blipFill>
                        <pic:spPr>
                          <a:xfrm>
                            <a:off x="0" y="0"/>
                            <a:ext cx="3137535" cy="2459355"/>
                          </a:xfrm>
                          <a:prstGeom prst="rect">
                            <a:avLst/>
                          </a:prstGeom>
                          <a:noFill/>
                          <a:ln w="9525">
                            <a:noFill/>
                          </a:ln>
                        </pic:spPr>
                      </pic:pic>
                    </a:graphicData>
                  </a:graphic>
                </wp:inline>
              </w:drawing>
            </w:r>
          </w:p>
          <w:p>
            <w:pPr>
              <w:adjustRightInd w:val="0"/>
              <w:snapToGrid w:val="0"/>
              <w:spacing w:line="360" w:lineRule="auto"/>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sz w:val="24"/>
                <w:szCs w:val="24"/>
              </w:rPr>
              <w:t xml:space="preserve"> </w:t>
            </w:r>
            <w:r>
              <w:rPr>
                <w:rFonts w:hint="eastAsia" w:ascii="华文楷体" w:hAnsi="华文楷体" w:eastAsia="华文楷体" w:cs="华文楷体"/>
                <w:b/>
                <w:bCs/>
                <w:sz w:val="24"/>
                <w:szCs w:val="24"/>
              </w:rPr>
              <w:t xml:space="preserve"> 我学会</w:t>
            </w:r>
            <w:r>
              <w:rPr>
                <w:rFonts w:hint="eastAsia" w:ascii="华文楷体" w:hAnsi="华文楷体" w:eastAsia="华文楷体" w:cs="华文楷体"/>
                <w:b/>
                <w:bCs/>
                <w:sz w:val="24"/>
                <w:szCs w:val="24"/>
                <w:lang w:val="en-US" w:eastAsia="zh-CN"/>
              </w:rPr>
              <w:t>专家</w:t>
            </w:r>
            <w:r>
              <w:rPr>
                <w:rFonts w:hint="eastAsia" w:ascii="华文楷体" w:hAnsi="华文楷体" w:eastAsia="华文楷体" w:cs="华文楷体"/>
                <w:b/>
                <w:bCs/>
                <w:sz w:val="24"/>
                <w:szCs w:val="24"/>
              </w:rPr>
              <w:t>张琪教授和陈国广教授的大会报告“纳豆激酶改善慢性结肠炎及相关神经系统疾病的机制研究”和“益母草活性成分的生物制造及应用”受到参会代表的关注。</w:t>
            </w:r>
          </w:p>
          <w:p>
            <w:pPr>
              <w:spacing w:line="360" w:lineRule="auto"/>
              <w:jc w:val="left"/>
              <w:rPr>
                <w:rStyle w:val="5"/>
                <w:rFonts w:hint="eastAsia" w:ascii="华文楷体" w:hAnsi="华文楷体" w:eastAsia="华文楷体" w:cs="华文楷体"/>
                <w:b/>
                <w:bCs w:val="0"/>
                <w:color w:val="373737"/>
                <w:sz w:val="28"/>
                <w:szCs w:val="28"/>
                <w:shd w:val="clear" w:color="auto" w:fill="FFFFFF"/>
                <w:lang w:val="en-US" w:eastAsia="zh-CN"/>
              </w:rPr>
            </w:pPr>
            <w:r>
              <w:rPr>
                <w:rFonts w:hint="eastAsia" w:ascii="华文楷体" w:hAnsi="华文楷体" w:eastAsia="华文楷体" w:cs="华文楷体"/>
                <w:sz w:val="24"/>
                <w:szCs w:val="24"/>
              </w:rPr>
              <w:drawing>
                <wp:inline distT="0" distB="0" distL="114300" distR="114300">
                  <wp:extent cx="4798060" cy="2239645"/>
                  <wp:effectExtent l="0" t="0" r="2540" b="825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31"/>
                          <a:stretch>
                            <a:fillRect/>
                          </a:stretch>
                        </pic:blipFill>
                        <pic:spPr>
                          <a:xfrm>
                            <a:off x="0" y="0"/>
                            <a:ext cx="4798060" cy="2239645"/>
                          </a:xfrm>
                          <a:prstGeom prst="rect">
                            <a:avLst/>
                          </a:prstGeom>
                          <a:noFill/>
                          <a:ln w="9525">
                            <a:noFill/>
                          </a:ln>
                        </pic:spPr>
                      </pic:pic>
                    </a:graphicData>
                  </a:graphic>
                </wp:inline>
              </w:drawing>
            </w:r>
          </w:p>
          <w:p>
            <w:pPr>
              <w:numPr>
                <w:ilvl w:val="0"/>
                <w:numId w:val="0"/>
              </w:numPr>
              <w:spacing w:line="360" w:lineRule="auto"/>
              <w:jc w:val="left"/>
              <w:rPr>
                <w:rFonts w:hint="eastAsia" w:ascii="华文楷体" w:hAnsi="华文楷体" w:eastAsia="华文楷体" w:cs="华文楷体"/>
                <w:b/>
                <w:bCs/>
                <w:sz w:val="24"/>
                <w:szCs w:val="24"/>
                <w:lang w:val="en-US" w:eastAsia="zh-CN"/>
              </w:rPr>
            </w:pPr>
          </w:p>
          <w:p>
            <w:pPr>
              <w:numPr>
                <w:ilvl w:val="0"/>
                <w:numId w:val="0"/>
              </w:numPr>
              <w:spacing w:line="360" w:lineRule="auto"/>
              <w:jc w:val="left"/>
              <w:rPr>
                <w:rFonts w:hint="eastAsia" w:ascii="华文楷体" w:hAnsi="华文楷体" w:eastAsia="华文楷体" w:cs="华文楷体"/>
                <w:b/>
                <w:bCs/>
                <w:sz w:val="24"/>
                <w:szCs w:val="24"/>
                <w:lang w:val="en-US" w:eastAsia="zh-CN"/>
              </w:rPr>
            </w:pPr>
          </w:p>
          <w:p>
            <w:pPr>
              <w:numPr>
                <w:ilvl w:val="0"/>
                <w:numId w:val="0"/>
              </w:numPr>
              <w:spacing w:line="360" w:lineRule="auto"/>
              <w:jc w:val="left"/>
              <w:rPr>
                <w:rFonts w:hint="eastAsia" w:ascii="仿宋" w:hAnsi="仿宋" w:eastAsia="仿宋" w:cs="仿宋"/>
                <w:b/>
                <w:bCs/>
                <w:sz w:val="24"/>
                <w:szCs w:val="24"/>
                <w:lang w:val="en-US" w:eastAsia="zh-CN"/>
              </w:rPr>
            </w:pPr>
          </w:p>
          <w:p>
            <w:pPr>
              <w:numPr>
                <w:ilvl w:val="0"/>
                <w:numId w:val="0"/>
              </w:numPr>
              <w:spacing w:line="360" w:lineRule="auto"/>
              <w:jc w:val="left"/>
              <w:rPr>
                <w:rFonts w:hint="eastAsia" w:ascii="仿宋" w:hAnsi="仿宋" w:eastAsia="仿宋" w:cs="仿宋"/>
                <w:b/>
                <w:bCs/>
                <w:sz w:val="24"/>
                <w:szCs w:val="24"/>
                <w:lang w:val="en-US" w:eastAsia="zh-CN"/>
              </w:rPr>
            </w:pPr>
          </w:p>
          <w:p>
            <w:pPr>
              <w:numPr>
                <w:ilvl w:val="0"/>
                <w:numId w:val="0"/>
              </w:numPr>
              <w:spacing w:line="360" w:lineRule="auto"/>
              <w:jc w:val="left"/>
              <w:rPr>
                <w:rFonts w:hint="eastAsia" w:ascii="仿宋" w:hAnsi="仿宋" w:eastAsia="仿宋" w:cs="仿宋"/>
                <w:b/>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exact"/>
          <w:jc w:val="center"/>
        </w:trPr>
        <w:tc>
          <w:tcPr>
            <w:tcW w:w="169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楷体_GB2312"/>
                <w:sz w:val="24"/>
                <w:szCs w:val="24"/>
              </w:rPr>
            </w:pPr>
            <w:r>
              <w:rPr>
                <w:rFonts w:hint="eastAsia" w:eastAsia="楷体_GB2312"/>
                <w:sz w:val="24"/>
                <w:szCs w:val="24"/>
              </w:rPr>
              <w:t>省级学会</w:t>
            </w:r>
          </w:p>
          <w:p>
            <w:pPr>
              <w:adjustRightInd w:val="0"/>
              <w:snapToGrid w:val="0"/>
              <w:spacing w:line="360" w:lineRule="auto"/>
              <w:jc w:val="center"/>
              <w:rPr>
                <w:rFonts w:eastAsia="楷体_GB2312"/>
                <w:sz w:val="24"/>
                <w:szCs w:val="24"/>
              </w:rPr>
            </w:pPr>
            <w:r>
              <w:rPr>
                <w:rFonts w:hint="eastAsia" w:eastAsia="楷体_GB2312"/>
                <w:sz w:val="24"/>
                <w:szCs w:val="24"/>
              </w:rPr>
              <w:t>推荐意见</w:t>
            </w:r>
          </w:p>
        </w:tc>
        <w:tc>
          <w:tcPr>
            <w:tcW w:w="6932"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eastAsia="楷体_GB2312"/>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eastAsia="楷体_GB2312"/>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eastAsia="楷体_GB2312"/>
                <w:b/>
                <w:bCs/>
                <w:sz w:val="24"/>
                <w:szCs w:val="24"/>
                <w:lang w:eastAsia="zh-CN"/>
              </w:rPr>
            </w:pPr>
            <w:r>
              <w:rPr>
                <w:rFonts w:hint="eastAsia" w:eastAsia="楷体_GB2312"/>
                <w:b/>
                <w:bCs/>
                <w:sz w:val="24"/>
                <w:szCs w:val="24"/>
                <w:lang w:eastAsia="zh-CN"/>
              </w:rPr>
              <w:t>同意推荐</w:t>
            </w:r>
          </w:p>
          <w:p>
            <w:pPr>
              <w:keepNext w:val="0"/>
              <w:keepLines w:val="0"/>
              <w:pageBreakBefore w:val="0"/>
              <w:widowControl w:val="0"/>
              <w:kinsoku/>
              <w:wordWrap/>
              <w:overflowPunct/>
              <w:topLinePunct w:val="0"/>
              <w:autoSpaceDE/>
              <w:autoSpaceDN/>
              <w:bidi w:val="0"/>
              <w:adjustRightInd w:val="0"/>
              <w:snapToGrid w:val="0"/>
              <w:spacing w:line="360" w:lineRule="auto"/>
              <w:ind w:firstLine="4560" w:firstLineChars="1900"/>
              <w:jc w:val="left"/>
              <w:textAlignment w:val="auto"/>
              <w:rPr>
                <w:rFonts w:hint="eastAsia" w:eastAsia="楷体_GB2312"/>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560" w:firstLineChars="1900"/>
              <w:jc w:val="left"/>
              <w:textAlignment w:val="auto"/>
              <w:rPr>
                <w:rFonts w:hint="eastAsia" w:eastAsia="楷体_GB2312"/>
                <w:sz w:val="24"/>
                <w:szCs w:val="24"/>
              </w:rPr>
            </w:pPr>
            <w:r>
              <w:rPr>
                <w:rFonts w:hint="eastAsia" w:eastAsia="楷体_GB2312"/>
                <w:sz w:val="24"/>
                <w:szCs w:val="24"/>
              </w:rPr>
              <w:t>盖章</w:t>
            </w:r>
          </w:p>
          <w:p>
            <w:pPr>
              <w:keepNext w:val="0"/>
              <w:keepLines w:val="0"/>
              <w:pageBreakBefore w:val="0"/>
              <w:widowControl w:val="0"/>
              <w:kinsoku/>
              <w:wordWrap/>
              <w:overflowPunct/>
              <w:topLinePunct w:val="0"/>
              <w:autoSpaceDE/>
              <w:autoSpaceDN/>
              <w:bidi w:val="0"/>
              <w:adjustRightInd w:val="0"/>
              <w:snapToGrid w:val="0"/>
              <w:spacing w:line="360" w:lineRule="auto"/>
              <w:ind w:firstLine="2160" w:firstLineChars="900"/>
              <w:jc w:val="left"/>
              <w:textAlignment w:val="auto"/>
              <w:rPr>
                <w:rFonts w:eastAsia="楷体_GB2312"/>
                <w:sz w:val="24"/>
                <w:szCs w:val="24"/>
              </w:rPr>
            </w:pPr>
            <w:r>
              <w:rPr>
                <w:rFonts w:eastAsia="楷体_GB2312"/>
                <w:sz w:val="24"/>
                <w:szCs w:val="24"/>
              </w:rPr>
              <w:t xml:space="preserve">         </w:t>
            </w:r>
            <w:r>
              <w:rPr>
                <w:rFonts w:hint="eastAsia" w:eastAsia="楷体_GB2312"/>
                <w:sz w:val="24"/>
                <w:szCs w:val="24"/>
                <w:lang w:val="en-US" w:eastAsia="zh-CN"/>
              </w:rPr>
              <w:t xml:space="preserve">       2023</w:t>
            </w:r>
            <w:r>
              <w:rPr>
                <w:rFonts w:eastAsia="楷体_GB2312"/>
                <w:sz w:val="24"/>
                <w:szCs w:val="24"/>
              </w:rPr>
              <w:t xml:space="preserve"> </w:t>
            </w:r>
            <w:r>
              <w:rPr>
                <w:rFonts w:hint="eastAsia" w:eastAsia="楷体_GB2312"/>
                <w:sz w:val="24"/>
                <w:szCs w:val="24"/>
              </w:rPr>
              <w:t>年</w:t>
            </w:r>
            <w:r>
              <w:rPr>
                <w:rFonts w:hint="eastAsia" w:eastAsia="楷体_GB2312"/>
                <w:sz w:val="24"/>
                <w:szCs w:val="24"/>
                <w:lang w:val="en-US" w:eastAsia="zh-CN"/>
              </w:rPr>
              <w:t>8</w:t>
            </w:r>
            <w:r>
              <w:rPr>
                <w:rFonts w:hint="eastAsia" w:eastAsia="楷体_GB2312"/>
                <w:sz w:val="24"/>
                <w:szCs w:val="24"/>
              </w:rPr>
              <w:t>月</w:t>
            </w:r>
            <w:r>
              <w:rPr>
                <w:rFonts w:eastAsia="楷体_GB2312"/>
                <w:sz w:val="24"/>
                <w:szCs w:val="24"/>
              </w:rPr>
              <w:t xml:space="preserve"> </w:t>
            </w:r>
            <w:r>
              <w:rPr>
                <w:rFonts w:hint="eastAsia" w:eastAsia="楷体_GB2312"/>
                <w:sz w:val="24"/>
                <w:szCs w:val="24"/>
                <w:lang w:val="en-US" w:eastAsia="zh-CN"/>
              </w:rPr>
              <w:t>3</w:t>
            </w:r>
            <w:r>
              <w:rPr>
                <w:rFonts w:hint="eastAsia" w:eastAsia="楷体_GB2312"/>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jc w:val="center"/>
        </w:trPr>
        <w:tc>
          <w:tcPr>
            <w:tcW w:w="169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楷体_GB2312"/>
                <w:sz w:val="24"/>
                <w:szCs w:val="24"/>
              </w:rPr>
            </w:pPr>
            <w:r>
              <w:rPr>
                <w:rFonts w:hint="eastAsia" w:eastAsia="楷体_GB2312"/>
                <w:sz w:val="24"/>
                <w:szCs w:val="24"/>
              </w:rPr>
              <w:t>省科协</w:t>
            </w:r>
          </w:p>
          <w:p>
            <w:pPr>
              <w:adjustRightInd w:val="0"/>
              <w:snapToGrid w:val="0"/>
              <w:spacing w:line="360" w:lineRule="auto"/>
              <w:jc w:val="center"/>
              <w:rPr>
                <w:rFonts w:eastAsia="楷体_GB2312"/>
                <w:sz w:val="24"/>
                <w:szCs w:val="24"/>
              </w:rPr>
            </w:pPr>
            <w:r>
              <w:rPr>
                <w:rFonts w:hint="eastAsia" w:eastAsia="楷体_GB2312"/>
                <w:sz w:val="24"/>
                <w:szCs w:val="24"/>
              </w:rPr>
              <w:t>审定意见</w:t>
            </w:r>
          </w:p>
        </w:tc>
        <w:tc>
          <w:tcPr>
            <w:tcW w:w="6932" w:type="dxa"/>
            <w:gridSpan w:val="3"/>
            <w:tcBorders>
              <w:top w:val="single" w:color="auto" w:sz="4" w:space="0"/>
              <w:left w:val="single" w:color="auto" w:sz="4" w:space="0"/>
              <w:bottom w:val="single" w:color="auto" w:sz="4" w:space="0"/>
              <w:right w:val="single" w:color="auto" w:sz="4" w:space="0"/>
            </w:tcBorders>
            <w:vAlign w:val="bottom"/>
          </w:tcPr>
          <w:p>
            <w:pPr>
              <w:adjustRightInd w:val="0"/>
              <w:snapToGrid w:val="0"/>
              <w:spacing w:line="360" w:lineRule="auto"/>
              <w:ind w:firstLine="2400" w:firstLineChars="1000"/>
              <w:rPr>
                <w:rFonts w:eastAsia="楷体_GB2312"/>
                <w:sz w:val="24"/>
                <w:szCs w:val="24"/>
              </w:rPr>
            </w:pPr>
            <w:r>
              <w:rPr>
                <w:rFonts w:hint="eastAsia" w:eastAsia="楷体_GB2312"/>
                <w:sz w:val="24"/>
                <w:szCs w:val="24"/>
              </w:rPr>
              <w:t>盖章</w:t>
            </w:r>
            <w:r>
              <w:rPr>
                <w:rFonts w:eastAsia="楷体_GB2312"/>
                <w:sz w:val="24"/>
                <w:szCs w:val="24"/>
              </w:rPr>
              <w:t xml:space="preserve">                 </w:t>
            </w:r>
            <w:r>
              <w:rPr>
                <w:rFonts w:hint="eastAsia" w:eastAsia="楷体_GB2312"/>
                <w:sz w:val="24"/>
                <w:szCs w:val="24"/>
              </w:rPr>
              <w:t>年</w:t>
            </w:r>
            <w:r>
              <w:rPr>
                <w:rFonts w:eastAsia="楷体_GB2312"/>
                <w:sz w:val="24"/>
                <w:szCs w:val="24"/>
              </w:rPr>
              <w:t xml:space="preserve">    </w:t>
            </w:r>
            <w:r>
              <w:rPr>
                <w:rFonts w:hint="eastAsia" w:eastAsia="楷体_GB2312"/>
                <w:sz w:val="24"/>
                <w:szCs w:val="24"/>
              </w:rPr>
              <w:t>月</w:t>
            </w:r>
            <w:r>
              <w:rPr>
                <w:rFonts w:eastAsia="楷体_GB2312"/>
                <w:sz w:val="24"/>
                <w:szCs w:val="24"/>
              </w:rPr>
              <w:t xml:space="preserve">    </w:t>
            </w:r>
            <w:r>
              <w:rPr>
                <w:rFonts w:hint="eastAsia" w:eastAsia="楷体_GB2312"/>
                <w:sz w:val="24"/>
                <w:szCs w:val="24"/>
              </w:rPr>
              <w:t>日</w:t>
            </w:r>
          </w:p>
        </w:tc>
      </w:tr>
    </w:tbl>
    <w:p>
      <w:pPr>
        <w:adjustRightInd w:val="0"/>
        <w:snapToGrid w:val="0"/>
        <w:spacing w:line="360" w:lineRule="auto"/>
        <w:rPr>
          <w:rFonts w:ascii="宋体" w:hAnsi="宋体"/>
          <w:szCs w:val="21"/>
        </w:rPr>
      </w:pPr>
      <w:r>
        <w:rPr>
          <w:rFonts w:hint="eastAsia" w:ascii="宋体" w:hAnsi="宋体"/>
          <w:szCs w:val="21"/>
        </w:rPr>
        <w:t xml:space="preserve">1.活动名称要具体，与备案表填报的信息一致； </w:t>
      </w:r>
    </w:p>
    <w:p>
      <w:pPr>
        <w:adjustRightInd w:val="0"/>
        <w:snapToGrid w:val="0"/>
        <w:spacing w:line="360" w:lineRule="auto"/>
        <w:rPr>
          <w:rFonts w:ascii="宋体" w:hAnsi="宋体"/>
          <w:szCs w:val="21"/>
        </w:rPr>
      </w:pPr>
      <w:r>
        <w:rPr>
          <w:rFonts w:ascii="宋体" w:hAnsi="宋体"/>
          <w:szCs w:val="21"/>
        </w:rPr>
        <w:t>2</w:t>
      </w:r>
      <w:r>
        <w:rPr>
          <w:rFonts w:hint="eastAsia" w:ascii="宋体" w:hAnsi="宋体"/>
          <w:szCs w:val="21"/>
        </w:rPr>
        <w:t>.单位名称填写全称；</w:t>
      </w:r>
    </w:p>
    <w:p>
      <w:pPr>
        <w:adjustRightInd w:val="0"/>
        <w:snapToGrid w:val="0"/>
        <w:spacing w:line="360" w:lineRule="auto"/>
        <w:rPr>
          <w:rFonts w:hint="eastAsia" w:ascii="宋体" w:hAnsi="宋体"/>
          <w:color w:val="262626"/>
          <w:szCs w:val="21"/>
        </w:rPr>
        <w:sectPr>
          <w:pgSz w:w="11906" w:h="16838"/>
          <w:pgMar w:top="1418" w:right="1701" w:bottom="1588" w:left="1701" w:header="851" w:footer="1134" w:gutter="0"/>
          <w:cols w:space="720" w:num="1"/>
        </w:sectPr>
      </w:pPr>
      <w:r>
        <w:rPr>
          <w:rFonts w:ascii="宋体" w:hAnsi="宋体"/>
          <w:szCs w:val="21"/>
        </w:rPr>
        <w:t>3</w:t>
      </w:r>
      <w:r>
        <w:rPr>
          <w:rFonts w:hint="eastAsia" w:ascii="宋体" w:hAnsi="宋体"/>
          <w:szCs w:val="21"/>
        </w:rPr>
        <w:t>.</w:t>
      </w:r>
      <w:r>
        <w:rPr>
          <w:rFonts w:ascii="宋体" w:hAnsi="宋体"/>
          <w:color w:val="262626"/>
          <w:szCs w:val="21"/>
        </w:rPr>
        <w:t>8</w:t>
      </w:r>
      <w:r>
        <w:rPr>
          <w:rFonts w:hint="eastAsia" w:ascii="宋体" w:hAnsi="宋体"/>
          <w:color w:val="262626"/>
          <w:szCs w:val="21"/>
        </w:rPr>
        <w:t>月1</w:t>
      </w:r>
      <w:r>
        <w:rPr>
          <w:rFonts w:ascii="宋体" w:hAnsi="宋体"/>
          <w:color w:val="262626"/>
          <w:szCs w:val="21"/>
        </w:rPr>
        <w:t>1</w:t>
      </w:r>
      <w:r>
        <w:rPr>
          <w:rFonts w:hint="eastAsia" w:ascii="宋体" w:hAnsi="宋体"/>
          <w:color w:val="262626"/>
          <w:szCs w:val="21"/>
        </w:rPr>
        <w:t>日前发至省学会服务中心邮箱：j</w:t>
      </w:r>
      <w:r>
        <w:rPr>
          <w:rFonts w:ascii="宋体" w:hAnsi="宋体"/>
          <w:color w:val="262626"/>
          <w:szCs w:val="21"/>
        </w:rPr>
        <w:t>sxh@vip.163.com</w:t>
      </w:r>
    </w:p>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C4B89"/>
    <w:multiLevelType w:val="singleLevel"/>
    <w:tmpl w:val="809C4B8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4N2VjNjc3YTQ3Y2EwOWZkYTBkYTk3OWY2ZTc4YmEifQ=="/>
  </w:docVars>
  <w:rsids>
    <w:rsidRoot w:val="5FBB67FC"/>
    <w:rsid w:val="05B362FB"/>
    <w:rsid w:val="20341126"/>
    <w:rsid w:val="2A7A5EF1"/>
    <w:rsid w:val="311E2CD0"/>
    <w:rsid w:val="3B6028FA"/>
    <w:rsid w:val="3B79497E"/>
    <w:rsid w:val="546E0BA8"/>
    <w:rsid w:val="5FBB67FC"/>
    <w:rsid w:val="676677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5">
    <w:name w:val="15"/>
    <w:basedOn w:val="4"/>
    <w:autoRedefine/>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4957</Words>
  <Characters>5072</Characters>
  <Lines>0</Lines>
  <Paragraphs>0</Paragraphs>
  <TotalTime>10</TotalTime>
  <ScaleCrop>false</ScaleCrop>
  <LinksUpToDate>false</LinksUpToDate>
  <CharactersWithSpaces>5133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2023-08-03T02:40:00Z</dcterms:created>
  <dc:creator>江苏省药理学会</dc:creator>
  <cp:lastModifiedBy>Roserita</cp:lastModifiedBy>
  <dcterms:modified xsi:type="dcterms:W3CDTF">2024-05-15T11:58:48Z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92EAE6E5DFB84D76BE6926C1576A24E7_13</vt:lpwstr>
  </property>
</Properties>
</file>